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16279">
      <w:pPr>
        <w:widowControl/>
        <w:jc w:val="center"/>
        <w:rPr>
          <w:rFonts w:hint="eastAsia" w:ascii="仿宋_GB2312" w:hAnsi="仿宋_GB2312" w:eastAsia="仿宋_GB2312" w:cs="仿宋_GB2312"/>
          <w:color w:val="auto"/>
          <w:spacing w:val="-6"/>
          <w:sz w:val="32"/>
          <w:szCs w:val="32"/>
        </w:rPr>
      </w:pPr>
      <w:r>
        <w:rPr>
          <w:rFonts w:hint="eastAsia" w:ascii="仿宋_GB2312" w:hAnsi="仿宋_GB2312" w:eastAsia="仿宋_GB2312" w:cs="仿宋_GB2312"/>
          <w:color w:val="auto"/>
          <w:sz w:val="44"/>
          <w:szCs w:val="44"/>
        </w:rPr>
        <w:t>佛山市中小企业数字化转型城市试点、佛山市产业集群数字化转型项目数字化牵引单位产品清单</w:t>
      </w:r>
    </w:p>
    <w:p w14:paraId="200D44D5">
      <w:pPr>
        <w:spacing w:line="560" w:lineRule="exact"/>
        <w:jc w:val="center"/>
        <w:rPr>
          <w:rFonts w:hint="eastAsia" w:ascii="仿宋_GB2312" w:hAnsi="仿宋_GB2312" w:eastAsia="仿宋_GB2312" w:cs="仿宋_GB2312"/>
          <w:color w:val="auto"/>
          <w:sz w:val="44"/>
          <w:szCs w:val="44"/>
          <w:lang w:eastAsia="zh-CN"/>
        </w:rPr>
      </w:pPr>
      <w:r>
        <w:rPr>
          <w:rFonts w:hint="eastAsia" w:ascii="仿宋_GB2312" w:hAnsi="仿宋_GB2312" w:eastAsia="仿宋_GB2312" w:cs="仿宋_GB2312"/>
          <w:color w:val="auto"/>
          <w:sz w:val="44"/>
          <w:szCs w:val="44"/>
          <w:lang w:eastAsia="zh-CN"/>
        </w:rPr>
        <w:t>（</w:t>
      </w:r>
      <w:r>
        <w:rPr>
          <w:rFonts w:hint="eastAsia" w:ascii="仿宋_GB2312" w:hAnsi="仿宋_GB2312" w:eastAsia="仿宋_GB2312" w:cs="仿宋_GB2312"/>
          <w:color w:val="auto"/>
          <w:sz w:val="44"/>
          <w:szCs w:val="44"/>
        </w:rPr>
        <w:t>数字化牵引单位：广东美的厨房电器制造有限公司</w:t>
      </w:r>
      <w:r>
        <w:rPr>
          <w:rFonts w:hint="eastAsia" w:ascii="仿宋_GB2312" w:hAnsi="仿宋_GB2312" w:eastAsia="仿宋_GB2312" w:cs="仿宋_GB2312"/>
          <w:color w:val="auto"/>
          <w:sz w:val="44"/>
          <w:szCs w:val="44"/>
          <w:lang w:eastAsia="zh-CN"/>
        </w:rPr>
        <w:t>）</w:t>
      </w:r>
    </w:p>
    <w:p w14:paraId="086B621B">
      <w:pPr>
        <w:spacing w:line="560" w:lineRule="exact"/>
        <w:rPr>
          <w:rFonts w:hint="eastAsia" w:ascii="仿宋_GB2312" w:hAnsi="仿宋_GB2312" w:eastAsia="仿宋_GB2312" w:cs="仿宋_GB2312"/>
          <w:color w:val="auto"/>
          <w:sz w:val="44"/>
          <w:szCs w:val="44"/>
          <w:lang w:eastAsia="zh-CN"/>
        </w:rPr>
      </w:pPr>
    </w:p>
    <w:p w14:paraId="7B45A0ED">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联合体成员：中国联合网络通信有限公司佛山市分公司</w:t>
      </w:r>
    </w:p>
    <w:tbl>
      <w:tblPr>
        <w:tblStyle w:val="14"/>
        <w:tblW w:w="0" w:type="auto"/>
        <w:tblInd w:w="113" w:type="dxa"/>
        <w:tblLayout w:type="autofit"/>
        <w:tblCellMar>
          <w:top w:w="0" w:type="dxa"/>
          <w:left w:w="108" w:type="dxa"/>
          <w:bottom w:w="0" w:type="dxa"/>
          <w:right w:w="108" w:type="dxa"/>
        </w:tblCellMar>
      </w:tblPr>
      <w:tblGrid>
        <w:gridCol w:w="806"/>
        <w:gridCol w:w="1511"/>
        <w:gridCol w:w="2797"/>
        <w:gridCol w:w="3908"/>
        <w:gridCol w:w="2474"/>
        <w:gridCol w:w="2437"/>
      </w:tblGrid>
      <w:tr w14:paraId="115AB35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6239A19">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436CF6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797" w:type="dxa"/>
            <w:tcBorders>
              <w:top w:val="single" w:color="auto" w:sz="4" w:space="0"/>
              <w:left w:val="nil"/>
              <w:bottom w:val="single" w:color="auto" w:sz="4" w:space="0"/>
              <w:right w:val="single" w:color="auto" w:sz="4" w:space="0"/>
            </w:tcBorders>
            <w:shd w:val="clear" w:color="auto" w:fill="auto"/>
            <w:vAlign w:val="center"/>
          </w:tcPr>
          <w:p w14:paraId="08A4667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908" w:type="dxa"/>
            <w:tcBorders>
              <w:top w:val="single" w:color="auto" w:sz="4" w:space="0"/>
              <w:left w:val="nil"/>
              <w:bottom w:val="single" w:color="auto" w:sz="4" w:space="0"/>
              <w:right w:val="single" w:color="auto" w:sz="4" w:space="0"/>
            </w:tcBorders>
            <w:shd w:val="clear" w:color="auto" w:fill="auto"/>
            <w:vAlign w:val="center"/>
          </w:tcPr>
          <w:p w14:paraId="6B3C151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2474" w:type="dxa"/>
            <w:tcBorders>
              <w:top w:val="single" w:color="auto" w:sz="4" w:space="0"/>
              <w:left w:val="nil"/>
              <w:bottom w:val="single" w:color="auto" w:sz="4" w:space="0"/>
              <w:right w:val="single" w:color="auto" w:sz="4" w:space="0"/>
            </w:tcBorders>
            <w:shd w:val="clear" w:color="auto" w:fill="auto"/>
            <w:vAlign w:val="center"/>
          </w:tcPr>
          <w:p w14:paraId="3EB1B9AA">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2437" w:type="dxa"/>
            <w:tcBorders>
              <w:top w:val="single" w:color="auto" w:sz="4" w:space="0"/>
              <w:left w:val="nil"/>
              <w:bottom w:val="single" w:color="auto" w:sz="4" w:space="0"/>
              <w:right w:val="single" w:color="auto" w:sz="4" w:space="0"/>
            </w:tcBorders>
            <w:shd w:val="clear" w:color="auto" w:fill="auto"/>
            <w:vAlign w:val="center"/>
          </w:tcPr>
          <w:p w14:paraId="7507EC6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775B61F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D4771AB">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6CE0A5">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联通工业固移融合平台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69786540">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对客户侧路由器、交换机、防火墙、服务器、工业终端（PON，FTTO）等ICT设备进行集中纳管、集中监控、集中告警，提供多种质量监控手段,支持客户专属全景视图、资源监控、网络拓扑、性能管理、告警全流程处理能力，全方位管控ICT基础设施运行质量。</w:t>
            </w:r>
          </w:p>
        </w:tc>
        <w:tc>
          <w:tcPr>
            <w:tcW w:w="3908" w:type="dxa"/>
            <w:tcBorders>
              <w:top w:val="single" w:color="auto" w:sz="4" w:space="0"/>
              <w:left w:val="nil"/>
              <w:bottom w:val="single" w:color="auto" w:sz="4" w:space="0"/>
              <w:right w:val="single" w:color="auto" w:sz="4" w:space="0"/>
            </w:tcBorders>
            <w:shd w:val="clear" w:color="auto" w:fill="auto"/>
            <w:vAlign w:val="center"/>
          </w:tcPr>
          <w:p w14:paraId="2AEB8BA7">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企业级ICT运维监控系统。通过内网管家实现客户侧IT、CT、终端设备和网络的集中纳管、集中监控、集中运维，提供园区级ICT综合信息管理能力、故障主动侦测预警能力、网络质量和业务质量端到端可视化呈现能力等</w:t>
            </w:r>
          </w:p>
        </w:tc>
        <w:tc>
          <w:tcPr>
            <w:tcW w:w="2474" w:type="dxa"/>
            <w:tcBorders>
              <w:top w:val="single" w:color="auto" w:sz="4" w:space="0"/>
              <w:left w:val="nil"/>
              <w:bottom w:val="single" w:color="auto" w:sz="4" w:space="0"/>
              <w:right w:val="single" w:color="auto" w:sz="4" w:space="0"/>
            </w:tcBorders>
            <w:shd w:val="clear" w:color="auto" w:fill="auto"/>
            <w:vAlign w:val="center"/>
          </w:tcPr>
          <w:p w14:paraId="332A4F57">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3万元-100万元，具体结合云化部署或私有化部署</w:t>
            </w:r>
          </w:p>
        </w:tc>
        <w:tc>
          <w:tcPr>
            <w:tcW w:w="2437" w:type="dxa"/>
            <w:tcBorders>
              <w:top w:val="single" w:color="auto" w:sz="4" w:space="0"/>
              <w:left w:val="nil"/>
              <w:bottom w:val="single" w:color="auto" w:sz="4" w:space="0"/>
              <w:right w:val="single" w:color="auto" w:sz="4" w:space="0"/>
            </w:tcBorders>
            <w:shd w:val="clear" w:color="auto" w:fill="auto"/>
            <w:vAlign w:val="center"/>
          </w:tcPr>
          <w:p w14:paraId="7541DE4C">
            <w:pPr>
              <w:widowControl/>
              <w:jc w:val="center"/>
              <w:textAlignment w:val="center"/>
              <w:rPr>
                <w:rFonts w:hint="eastAsia" w:ascii="仿宋" w:hAnsi="仿宋" w:eastAsia="仿宋" w:cs="仿宋"/>
                <w:b w:val="0"/>
                <w:bCs w:val="0"/>
                <w:color w:val="000000"/>
                <w:kern w:val="0"/>
                <w:sz w:val="24"/>
                <w:szCs w:val="24"/>
                <w:u w:val="none"/>
                <w:lang w:bidi="ar"/>
              </w:rPr>
            </w:pPr>
          </w:p>
        </w:tc>
      </w:tr>
      <w:tr w14:paraId="1558D8BE">
        <w:tblPrEx>
          <w:tblCellMar>
            <w:top w:w="0" w:type="dxa"/>
            <w:left w:w="108" w:type="dxa"/>
            <w:bottom w:w="0" w:type="dxa"/>
            <w:right w:w="108" w:type="dxa"/>
          </w:tblCellMar>
        </w:tblPrEx>
        <w:trPr>
          <w:trHeight w:val="2438"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042B8B5">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D97F148">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b w:val="0"/>
                <w:bCs w:val="0"/>
                <w:color w:val="000000"/>
                <w:kern w:val="0"/>
                <w:sz w:val="24"/>
                <w:szCs w:val="24"/>
                <w:u w:val="none"/>
                <w:lang w:bidi="ar"/>
              </w:rPr>
              <w:t>老师傅工业大模型应用平台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2C02070E">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聚焦智能产线、智能诊断、智能运营三大场景。管理类</w:t>
            </w:r>
          </w:p>
        </w:tc>
        <w:tc>
          <w:tcPr>
            <w:tcW w:w="3908" w:type="dxa"/>
            <w:tcBorders>
              <w:top w:val="single" w:color="auto" w:sz="4" w:space="0"/>
              <w:left w:val="nil"/>
              <w:bottom w:val="single" w:color="auto" w:sz="4" w:space="0"/>
              <w:right w:val="single" w:color="auto" w:sz="4" w:space="0"/>
            </w:tcBorders>
            <w:shd w:val="clear" w:color="auto" w:fill="auto"/>
            <w:vAlign w:val="center"/>
          </w:tcPr>
          <w:p w14:paraId="2DFFBA7B">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1轻量化Maas平台</w:t>
            </w:r>
            <w:r>
              <w:rPr>
                <w:rFonts w:hint="eastAsia" w:ascii="仿宋" w:hAnsi="仿宋" w:eastAsia="仿宋" w:cs="仿宋"/>
                <w:i w:val="0"/>
                <w:iCs w:val="0"/>
                <w:color w:val="000000"/>
                <w:kern w:val="0"/>
                <w:sz w:val="24"/>
                <w:szCs w:val="24"/>
                <w:u w:val="none"/>
                <w:lang w:val="en-US" w:eastAsia="zh-CN" w:bidi="ar"/>
              </w:rPr>
              <w:br w:type="textWrapping"/>
            </w:r>
            <w:r>
              <w:rPr>
                <w:rFonts w:ascii="Wingdings 2" w:hAnsi="Wingdings 2" w:eastAsia="Wingdings 2" w:cs="Wingdings 2"/>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提供模型纳管、训练、微调、部署等服务，轻松打造专属模型。</w:t>
            </w:r>
            <w:r>
              <w:rPr>
                <w:rFonts w:hint="eastAsia" w:ascii="仿宋" w:hAnsi="仿宋" w:eastAsia="仿宋" w:cs="仿宋"/>
                <w:i w:val="0"/>
                <w:iCs w:val="0"/>
                <w:color w:val="000000"/>
                <w:kern w:val="0"/>
                <w:sz w:val="24"/>
                <w:szCs w:val="24"/>
                <w:u w:val="none"/>
                <w:lang w:val="en-US" w:eastAsia="zh-CN" w:bidi="ar"/>
              </w:rPr>
              <w:br w:type="textWrapping"/>
            </w:r>
            <w:r>
              <w:rPr>
                <w:rFonts w:ascii="Wingdings 2" w:hAnsi="Wingdings 2" w:eastAsia="Wingdings 2" w:cs="Wingdings 2"/>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支持企业上传私有数据，搭建本地知识库建设</w:t>
            </w:r>
            <w:r>
              <w:rPr>
                <w:rFonts w:hint="eastAsia" w:ascii="仿宋" w:hAnsi="仿宋" w:eastAsia="仿宋" w:cs="仿宋"/>
                <w:i w:val="0"/>
                <w:iCs w:val="0"/>
                <w:color w:val="000000"/>
                <w:kern w:val="0"/>
                <w:sz w:val="24"/>
                <w:szCs w:val="24"/>
                <w:u w:val="none"/>
                <w:lang w:val="en-US" w:eastAsia="zh-CN" w:bidi="ar"/>
              </w:rPr>
              <w:br w:type="textWrapping"/>
            </w:r>
            <w:r>
              <w:rPr>
                <w:rFonts w:ascii="Wingdings 2" w:hAnsi="Wingdings 2" w:eastAsia="Wingdings 2" w:cs="Wingdings 2"/>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提供工作流编排工具，支持企业自由构建智能体应用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2智能诊断</w:t>
            </w:r>
            <w:r>
              <w:rPr>
                <w:rFonts w:hint="eastAsia" w:ascii="仿宋" w:hAnsi="仿宋" w:eastAsia="仿宋" w:cs="仿宋"/>
                <w:i w:val="0"/>
                <w:iCs w:val="0"/>
                <w:color w:val="000000"/>
                <w:kern w:val="0"/>
                <w:sz w:val="24"/>
                <w:szCs w:val="24"/>
                <w:u w:val="none"/>
                <w:lang w:val="en-US" w:eastAsia="zh-CN" w:bidi="ar"/>
              </w:rPr>
              <w:br w:type="textWrapping"/>
            </w:r>
            <w:r>
              <w:rPr>
                <w:rFonts w:ascii="Wingdings 2" w:hAnsi="Wingdings 2" w:eastAsia="Wingdings 2" w:cs="Wingdings 2"/>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中小企数转智能诊断</w:t>
            </w:r>
            <w:r>
              <w:rPr>
                <w:rFonts w:hint="eastAsia" w:ascii="仿宋" w:hAnsi="仿宋" w:eastAsia="仿宋" w:cs="仿宋"/>
                <w:i w:val="0"/>
                <w:iCs w:val="0"/>
                <w:color w:val="000000"/>
                <w:kern w:val="0"/>
                <w:sz w:val="24"/>
                <w:szCs w:val="24"/>
                <w:u w:val="none"/>
                <w:lang w:val="en-US" w:eastAsia="zh-CN" w:bidi="ar"/>
              </w:rPr>
              <w:br w:type="textWrapping"/>
            </w:r>
            <w:r>
              <w:rPr>
                <w:rFonts w:ascii="Wingdings 2" w:hAnsi="Wingdings 2" w:eastAsia="Wingdings 2" w:cs="Wingdings 2"/>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报告自动生成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3智能生产</w:t>
            </w:r>
            <w:r>
              <w:rPr>
                <w:rFonts w:hint="eastAsia" w:ascii="仿宋" w:hAnsi="仿宋" w:eastAsia="仿宋" w:cs="仿宋"/>
                <w:i w:val="0"/>
                <w:iCs w:val="0"/>
                <w:color w:val="000000"/>
                <w:kern w:val="0"/>
                <w:sz w:val="24"/>
                <w:szCs w:val="24"/>
                <w:u w:val="none"/>
                <w:lang w:val="en-US" w:eastAsia="zh-CN" w:bidi="ar"/>
              </w:rPr>
              <w:br w:type="textWrapping"/>
            </w:r>
            <w:r>
              <w:rPr>
                <w:rFonts w:ascii="Wingdings 2" w:hAnsi="Wingdings 2" w:eastAsia="Wingdings 2" w:cs="Wingdings 2"/>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视觉质检:少样本学习、缺陷精准检测</w:t>
            </w:r>
            <w:r>
              <w:rPr>
                <w:rFonts w:hint="eastAsia" w:ascii="仿宋" w:hAnsi="仿宋" w:eastAsia="仿宋" w:cs="仿宋"/>
                <w:i w:val="0"/>
                <w:iCs w:val="0"/>
                <w:color w:val="000000"/>
                <w:kern w:val="0"/>
                <w:sz w:val="24"/>
                <w:szCs w:val="24"/>
                <w:u w:val="none"/>
                <w:lang w:val="en-US" w:eastAsia="zh-CN" w:bidi="ar"/>
              </w:rPr>
              <w:br w:type="textWrapping"/>
            </w:r>
            <w:r>
              <w:rPr>
                <w:rFonts w:ascii="Wingdings 2" w:hAnsi="Wingdings 2" w:eastAsia="Wingdings 2" w:cs="Wingdings 2"/>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智能运维:预测性维护、设备健康管理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4智能运维</w:t>
            </w:r>
            <w:r>
              <w:rPr>
                <w:rFonts w:hint="eastAsia" w:ascii="仿宋" w:hAnsi="仿宋" w:eastAsia="仿宋" w:cs="仿宋"/>
                <w:i w:val="0"/>
                <w:iCs w:val="0"/>
                <w:color w:val="000000"/>
                <w:kern w:val="0"/>
                <w:sz w:val="24"/>
                <w:szCs w:val="24"/>
                <w:u w:val="none"/>
                <w:lang w:val="en-US" w:eastAsia="zh-CN" w:bidi="ar"/>
              </w:rPr>
              <w:br w:type="textWrapping"/>
            </w:r>
            <w:r>
              <w:rPr>
                <w:rFonts w:ascii="Wingdings 2" w:hAnsi="Wingdings 2" w:eastAsia="Wingdings 2" w:cs="Wingdings 2"/>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智能问答</w:t>
            </w:r>
            <w:r>
              <w:rPr>
                <w:rFonts w:hint="eastAsia" w:ascii="仿宋" w:hAnsi="仿宋" w:eastAsia="仿宋" w:cs="仿宋"/>
                <w:i w:val="0"/>
                <w:iCs w:val="0"/>
                <w:color w:val="000000"/>
                <w:kern w:val="0"/>
                <w:sz w:val="24"/>
                <w:szCs w:val="24"/>
                <w:u w:val="none"/>
                <w:lang w:val="en-US" w:eastAsia="zh-CN" w:bidi="ar"/>
              </w:rPr>
              <w:br w:type="textWrapping"/>
            </w:r>
            <w:r>
              <w:rPr>
                <w:rFonts w:ascii="Wingdings 2" w:hAnsi="Wingdings 2" w:eastAsia="Wingdings 2" w:cs="Wingdings 2"/>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智能看板</w:t>
            </w:r>
            <w:r>
              <w:rPr>
                <w:rFonts w:hint="eastAsia" w:ascii="仿宋" w:hAnsi="仿宋" w:eastAsia="仿宋" w:cs="仿宋"/>
                <w:i w:val="0"/>
                <w:iCs w:val="0"/>
                <w:color w:val="000000"/>
                <w:kern w:val="0"/>
                <w:sz w:val="24"/>
                <w:szCs w:val="24"/>
                <w:u w:val="none"/>
                <w:lang w:val="en-US" w:eastAsia="zh-CN" w:bidi="ar"/>
              </w:rPr>
              <w:br w:type="textWrapping"/>
            </w:r>
            <w:r>
              <w:rPr>
                <w:rFonts w:ascii="Wingdings 2" w:hAnsi="Wingdings 2" w:eastAsia="Wingdings 2" w:cs="Wingdings 2"/>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t>智能培训数字人</w:t>
            </w:r>
          </w:p>
        </w:tc>
        <w:tc>
          <w:tcPr>
            <w:tcW w:w="2474" w:type="dxa"/>
            <w:tcBorders>
              <w:top w:val="single" w:color="auto" w:sz="4" w:space="0"/>
              <w:left w:val="nil"/>
              <w:bottom w:val="single" w:color="auto" w:sz="4" w:space="0"/>
              <w:right w:val="single" w:color="auto" w:sz="4" w:space="0"/>
            </w:tcBorders>
            <w:shd w:val="clear" w:color="auto" w:fill="auto"/>
            <w:vAlign w:val="center"/>
          </w:tcPr>
          <w:p w14:paraId="2FE30B1E">
            <w:pPr>
              <w:keepNext w:val="0"/>
              <w:keepLines w:val="0"/>
              <w:widowControl/>
              <w:suppressLineNumbers w:val="0"/>
              <w:jc w:val="left"/>
              <w:textAlignment w:val="center"/>
              <w:rPr>
                <w:rFonts w:hint="eastAsia" w:ascii="仿宋" w:hAnsi="仿宋" w:eastAsia="仿宋" w:cs="仿宋"/>
                <w:b w:val="0"/>
                <w:bCs w:val="0"/>
                <w:color w:val="000000"/>
                <w:kern w:val="0"/>
                <w:sz w:val="24"/>
                <w:szCs w:val="24"/>
                <w:highlight w:val="none"/>
                <w:u w:val="none"/>
                <w:lang w:bidi="ar"/>
              </w:rPr>
            </w:pPr>
            <w:r>
              <w:rPr>
                <w:rFonts w:hint="eastAsia" w:ascii="仿宋" w:hAnsi="仿宋" w:eastAsia="仿宋" w:cs="仿宋"/>
                <w:i w:val="0"/>
                <w:iCs w:val="0"/>
                <w:color w:val="000000"/>
                <w:kern w:val="0"/>
                <w:sz w:val="24"/>
                <w:szCs w:val="24"/>
                <w:u w:val="none"/>
                <w:lang w:val="en-US" w:eastAsia="zh-CN" w:bidi="ar"/>
              </w:rPr>
              <w:t>按照场景定制化部署，5万元-50万元</w:t>
            </w:r>
          </w:p>
        </w:tc>
        <w:tc>
          <w:tcPr>
            <w:tcW w:w="2437" w:type="dxa"/>
            <w:tcBorders>
              <w:top w:val="single" w:color="auto" w:sz="4" w:space="0"/>
              <w:left w:val="nil"/>
              <w:bottom w:val="single" w:color="auto" w:sz="4" w:space="0"/>
              <w:right w:val="single" w:color="auto" w:sz="4" w:space="0"/>
            </w:tcBorders>
            <w:shd w:val="clear" w:color="auto" w:fill="auto"/>
            <w:vAlign w:val="center"/>
          </w:tcPr>
          <w:p w14:paraId="1BCD014A">
            <w:pPr>
              <w:widowControl/>
              <w:jc w:val="center"/>
              <w:textAlignment w:val="center"/>
              <w:rPr>
                <w:rFonts w:hint="eastAsia" w:ascii="仿宋" w:hAnsi="仿宋" w:eastAsia="仿宋" w:cs="仿宋"/>
                <w:b w:val="0"/>
                <w:bCs w:val="0"/>
                <w:color w:val="000000"/>
                <w:kern w:val="0"/>
                <w:sz w:val="24"/>
                <w:szCs w:val="24"/>
                <w:u w:val="none"/>
                <w:lang w:bidi="ar"/>
              </w:rPr>
            </w:pPr>
          </w:p>
        </w:tc>
      </w:tr>
      <w:tr w14:paraId="72B37EF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38097BD">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BE27632">
            <w:pPr>
              <w:keepNext w:val="0"/>
              <w:keepLines w:val="0"/>
              <w:widowControl/>
              <w:suppressLineNumbers w:val="0"/>
              <w:jc w:val="center"/>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AI数字员工平台</w:t>
            </w:r>
          </w:p>
        </w:tc>
        <w:tc>
          <w:tcPr>
            <w:tcW w:w="2797" w:type="dxa"/>
            <w:tcBorders>
              <w:top w:val="single" w:color="auto" w:sz="4" w:space="0"/>
              <w:left w:val="nil"/>
              <w:bottom w:val="single" w:color="auto" w:sz="4" w:space="0"/>
              <w:right w:val="single" w:color="auto" w:sz="4" w:space="0"/>
            </w:tcBorders>
            <w:shd w:val="clear" w:color="auto" w:fill="auto"/>
            <w:vAlign w:val="center"/>
          </w:tcPr>
          <w:p w14:paraId="0E7FAE09">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企业培训场景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新员工入职培训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产品知识培训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销售技能提升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合规培训管理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日常办公场景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快速制作演示文稿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企业知识查询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文档智能处理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创意内容生成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销售管理场景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销售话术训练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客户沟通技巧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产品介绍优化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销售数据分析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内容创作场景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营销素材制作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培训资料开发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宣传内容生成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品牌形象设计</w:t>
            </w:r>
          </w:p>
        </w:tc>
        <w:tc>
          <w:tcPr>
            <w:tcW w:w="3908" w:type="dxa"/>
            <w:tcBorders>
              <w:top w:val="single" w:color="auto" w:sz="4" w:space="0"/>
              <w:left w:val="nil"/>
              <w:bottom w:val="single" w:color="auto" w:sz="4" w:space="0"/>
              <w:right w:val="single" w:color="auto" w:sz="4" w:space="0"/>
            </w:tcBorders>
            <w:shd w:val="clear" w:color="auto" w:fill="auto"/>
            <w:vAlign w:val="center"/>
          </w:tcPr>
          <w:p w14:paraId="51108646">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 xml:space="preserve">专为企业打造的全方位AI工作平台，旨在通过人工智能技术提升企业的工作效率、培训质量和业务水平。平台集成了对话问答、文档生成、培训管理、销售辅导等多项核心功能，为不同规模的企业提供定制化的AI解决方案。 </w:t>
            </w:r>
          </w:p>
        </w:tc>
        <w:tc>
          <w:tcPr>
            <w:tcW w:w="2474" w:type="dxa"/>
            <w:tcBorders>
              <w:top w:val="single" w:color="auto" w:sz="4" w:space="0"/>
              <w:left w:val="nil"/>
              <w:bottom w:val="single" w:color="auto" w:sz="4" w:space="0"/>
              <w:right w:val="single" w:color="auto" w:sz="4" w:space="0"/>
            </w:tcBorders>
            <w:shd w:val="clear" w:color="auto" w:fill="auto"/>
            <w:vAlign w:val="center"/>
          </w:tcPr>
          <w:p w14:paraId="1B23CBAA">
            <w:pPr>
              <w:keepNext w:val="0"/>
              <w:keepLines w:val="0"/>
              <w:widowControl/>
              <w:suppressLineNumbers w:val="0"/>
              <w:jc w:val="left"/>
              <w:textAlignment w:val="center"/>
              <w:rPr>
                <w:rFonts w:hint="eastAsia" w:ascii="仿宋" w:hAnsi="仿宋" w:eastAsia="仿宋" w:cs="仿宋"/>
                <w:b w:val="0"/>
                <w:b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6万元-35万元，具体结合云化部署或私有化部署</w:t>
            </w:r>
          </w:p>
        </w:tc>
        <w:tc>
          <w:tcPr>
            <w:tcW w:w="2437" w:type="dxa"/>
            <w:tcBorders>
              <w:top w:val="single" w:color="auto" w:sz="4" w:space="0"/>
              <w:left w:val="nil"/>
              <w:bottom w:val="single" w:color="auto" w:sz="4" w:space="0"/>
              <w:right w:val="single" w:color="auto" w:sz="4" w:space="0"/>
            </w:tcBorders>
            <w:shd w:val="clear" w:color="auto" w:fill="auto"/>
            <w:vAlign w:val="center"/>
          </w:tcPr>
          <w:p w14:paraId="4B742E1A">
            <w:pPr>
              <w:widowControl/>
              <w:jc w:val="center"/>
              <w:textAlignment w:val="center"/>
              <w:rPr>
                <w:rFonts w:hint="eastAsia" w:ascii="仿宋" w:hAnsi="仿宋" w:eastAsia="仿宋" w:cs="仿宋"/>
                <w:b w:val="0"/>
                <w:bCs w:val="0"/>
                <w:color w:val="000000"/>
                <w:kern w:val="0"/>
                <w:sz w:val="24"/>
                <w:szCs w:val="24"/>
                <w:u w:val="none"/>
                <w:lang w:bidi="ar"/>
              </w:rPr>
            </w:pPr>
          </w:p>
        </w:tc>
      </w:tr>
    </w:tbl>
    <w:p w14:paraId="376082C2">
      <w:pPr>
        <w:rPr>
          <w:rFonts w:hint="eastAsia"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7ACD84FF">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（二）联合体成员：中国移动通信集团广东有限公司佛山分公司</w:t>
      </w:r>
    </w:p>
    <w:p w14:paraId="5DD5C856">
      <w:pPr>
        <w:rPr>
          <w:rFonts w:hint="eastAsia" w:ascii="仿宋_GB2312" w:hAnsi="仿宋_GB2312" w:eastAsia="仿宋_GB2312" w:cs="仿宋_GB2312"/>
          <w:bCs/>
          <w:sz w:val="32"/>
          <w:szCs w:val="32"/>
        </w:rPr>
      </w:pPr>
    </w:p>
    <w:tbl>
      <w:tblPr>
        <w:tblStyle w:val="14"/>
        <w:tblW w:w="0" w:type="auto"/>
        <w:tblInd w:w="113" w:type="dxa"/>
        <w:tblLayout w:type="autofit"/>
        <w:tblCellMar>
          <w:top w:w="0" w:type="dxa"/>
          <w:left w:w="108" w:type="dxa"/>
          <w:bottom w:w="0" w:type="dxa"/>
          <w:right w:w="108" w:type="dxa"/>
        </w:tblCellMar>
      </w:tblPr>
      <w:tblGrid>
        <w:gridCol w:w="806"/>
        <w:gridCol w:w="1511"/>
        <w:gridCol w:w="3722"/>
        <w:gridCol w:w="2983"/>
        <w:gridCol w:w="1551"/>
        <w:gridCol w:w="3351"/>
      </w:tblGrid>
      <w:tr w14:paraId="7F6F87C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94D7ED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06C08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722" w:type="dxa"/>
            <w:tcBorders>
              <w:top w:val="single" w:color="auto" w:sz="4" w:space="0"/>
              <w:left w:val="nil"/>
              <w:bottom w:val="single" w:color="auto" w:sz="4" w:space="0"/>
              <w:right w:val="single" w:color="auto" w:sz="4" w:space="0"/>
            </w:tcBorders>
            <w:shd w:val="clear" w:color="auto" w:fill="auto"/>
            <w:vAlign w:val="center"/>
          </w:tcPr>
          <w:p w14:paraId="471532D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2983" w:type="dxa"/>
            <w:tcBorders>
              <w:top w:val="single" w:color="auto" w:sz="4" w:space="0"/>
              <w:left w:val="nil"/>
              <w:bottom w:val="single" w:color="auto" w:sz="4" w:space="0"/>
              <w:right w:val="single" w:color="auto" w:sz="4" w:space="0"/>
            </w:tcBorders>
            <w:shd w:val="clear" w:color="auto" w:fill="auto"/>
            <w:vAlign w:val="center"/>
          </w:tcPr>
          <w:p w14:paraId="134C519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71E33F35">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351" w:type="dxa"/>
            <w:tcBorders>
              <w:top w:val="single" w:color="auto" w:sz="4" w:space="0"/>
              <w:left w:val="nil"/>
              <w:bottom w:val="single" w:color="auto" w:sz="4" w:space="0"/>
              <w:right w:val="single" w:color="auto" w:sz="4" w:space="0"/>
            </w:tcBorders>
            <w:shd w:val="clear" w:color="auto" w:fill="auto"/>
            <w:vAlign w:val="center"/>
          </w:tcPr>
          <w:p w14:paraId="35FCD249">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33341D38">
        <w:tblPrEx>
          <w:tblCellMar>
            <w:top w:w="0" w:type="dxa"/>
            <w:left w:w="108" w:type="dxa"/>
            <w:bottom w:w="0" w:type="dxa"/>
            <w:right w:w="108" w:type="dxa"/>
          </w:tblCellMar>
        </w:tblPrEx>
        <w:trPr>
          <w:trHeight w:val="1996"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4B90FE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AA4ABC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onepower工业互联网应用</w:t>
            </w:r>
          </w:p>
        </w:tc>
        <w:tc>
          <w:tcPr>
            <w:tcW w:w="3722" w:type="dxa"/>
            <w:tcBorders>
              <w:top w:val="single" w:color="auto" w:sz="4" w:space="0"/>
              <w:left w:val="nil"/>
              <w:bottom w:val="single" w:color="auto" w:sz="4" w:space="0"/>
              <w:right w:val="single" w:color="auto" w:sz="4" w:space="0"/>
            </w:tcBorders>
            <w:shd w:val="clear" w:color="auto" w:fill="auto"/>
            <w:vAlign w:val="center"/>
          </w:tcPr>
          <w:p w14:paraId="1A5E991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轻巡检、轻诊断、轻生产、轻供应、轻营销、轻BI、轻服务、轻能耗、轻数联、轻盾、轻安监</w:t>
            </w:r>
          </w:p>
        </w:tc>
        <w:tc>
          <w:tcPr>
            <w:tcW w:w="2983" w:type="dxa"/>
            <w:tcBorders>
              <w:top w:val="single" w:color="auto" w:sz="4" w:space="0"/>
              <w:left w:val="nil"/>
              <w:bottom w:val="single" w:color="auto" w:sz="4" w:space="0"/>
              <w:right w:val="single" w:color="auto" w:sz="4" w:space="0"/>
            </w:tcBorders>
            <w:shd w:val="clear" w:color="auto" w:fill="auto"/>
            <w:vAlign w:val="center"/>
          </w:tcPr>
          <w:p w14:paraId="3A237F7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设备运维；数字化转型诊断；生产过程管理；仓储物料管理；产品营销；数据可视化；售后管理；能耗管理；数据采集；网络安全；生产安全</w:t>
            </w:r>
          </w:p>
        </w:tc>
        <w:tc>
          <w:tcPr>
            <w:tcW w:w="1551" w:type="dxa"/>
            <w:tcBorders>
              <w:top w:val="single" w:color="auto" w:sz="4" w:space="0"/>
              <w:left w:val="nil"/>
              <w:bottom w:val="single" w:color="auto" w:sz="4" w:space="0"/>
              <w:right w:val="single" w:color="auto" w:sz="4" w:space="0"/>
            </w:tcBorders>
            <w:shd w:val="clear" w:color="auto" w:fill="auto"/>
            <w:vAlign w:val="center"/>
          </w:tcPr>
          <w:p w14:paraId="7EDEB579">
            <w:pPr>
              <w:widowControl/>
              <w:jc w:val="left"/>
              <w:textAlignment w:val="center"/>
              <w:rPr>
                <w:rFonts w:hint="eastAsia" w:ascii="仿宋_GB2312" w:hAnsi="仿宋_GB2312" w:eastAsia="仿宋_GB2312" w:cs="仿宋_GB2312"/>
                <w:kern w:val="0"/>
                <w:sz w:val="24"/>
                <w:szCs w:val="24"/>
              </w:rPr>
            </w:pPr>
            <w:r>
              <w:rPr>
                <w:rFonts w:hint="eastAsia" w:ascii="仿宋_GB2312" w:hAnsi="等线" w:eastAsia="仿宋_GB2312" w:cs="宋体"/>
                <w:b w:val="0"/>
                <w:bCs w:val="0"/>
                <w:color w:val="auto"/>
                <w:kern w:val="0"/>
                <w:sz w:val="24"/>
                <w:szCs w:val="24"/>
                <w:lang w:val="en-US" w:eastAsia="zh-CN"/>
              </w:rPr>
              <w:t>10</w:t>
            </w:r>
            <w:r>
              <w:rPr>
                <w:rFonts w:hint="eastAsia" w:ascii="仿宋_GB2312" w:hAnsi="宋体" w:eastAsia="仿宋_GB2312" w:cs="仿宋_GB2312"/>
                <w:color w:val="000000"/>
                <w:kern w:val="0"/>
                <w:sz w:val="24"/>
                <w:szCs w:val="24"/>
                <w:lang w:val="en-US" w:eastAsia="zh-CN" w:bidi="ar"/>
              </w:rPr>
              <w:t>万元</w:t>
            </w:r>
            <w:r>
              <w:rPr>
                <w:rFonts w:hint="eastAsia" w:ascii="仿宋_GB2312" w:hAnsi="等线" w:eastAsia="仿宋_GB2312" w:cs="宋体"/>
                <w:b w:val="0"/>
                <w:bCs w:val="0"/>
                <w:color w:val="auto"/>
                <w:kern w:val="0"/>
                <w:sz w:val="24"/>
                <w:szCs w:val="24"/>
                <w:lang w:val="en-US" w:eastAsia="zh-CN"/>
              </w:rPr>
              <w:t>-150</w:t>
            </w:r>
            <w:r>
              <w:rPr>
                <w:rFonts w:hint="eastAsia" w:ascii="仿宋_GB2312" w:hAnsi="宋体" w:eastAsia="仿宋_GB2312" w:cs="仿宋_GB2312"/>
                <w:color w:val="000000"/>
                <w:kern w:val="0"/>
                <w:sz w:val="24"/>
                <w:szCs w:val="24"/>
                <w:lang w:val="en-US" w:eastAsia="zh-CN" w:bidi="ar"/>
              </w:rPr>
              <w:t>万元</w:t>
            </w:r>
          </w:p>
        </w:tc>
        <w:tc>
          <w:tcPr>
            <w:tcW w:w="3351" w:type="dxa"/>
            <w:tcBorders>
              <w:top w:val="single" w:color="auto" w:sz="4" w:space="0"/>
              <w:left w:val="nil"/>
              <w:bottom w:val="single" w:color="auto" w:sz="4" w:space="0"/>
              <w:right w:val="single" w:color="auto" w:sz="4" w:space="0"/>
            </w:tcBorders>
            <w:shd w:val="clear" w:color="auto" w:fill="auto"/>
            <w:vAlign w:val="center"/>
          </w:tcPr>
          <w:p w14:paraId="40E4E5B5">
            <w:pPr>
              <w:widowControl/>
              <w:tabs>
                <w:tab w:val="left" w:pos="1120"/>
              </w:tabs>
              <w:jc w:val="center"/>
              <w:rPr>
                <w:rFonts w:hint="default" w:ascii="仿宋_GB2312" w:hAnsi="仿宋_GB2312" w:eastAsia="仿宋_GB2312" w:cs="仿宋_GB2312"/>
                <w:kern w:val="0"/>
                <w:sz w:val="24"/>
                <w:szCs w:val="24"/>
                <w:lang w:val="en-US" w:eastAsia="zh-CN"/>
              </w:rPr>
            </w:pPr>
          </w:p>
        </w:tc>
      </w:tr>
      <w:tr w14:paraId="5D8F268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151C42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8E02CE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鼎捷ERP（包含E10 ERP、易飞 ERP、T100 ERP等）</w:t>
            </w:r>
          </w:p>
        </w:tc>
        <w:tc>
          <w:tcPr>
            <w:tcW w:w="3722" w:type="dxa"/>
            <w:tcBorders>
              <w:top w:val="single" w:color="auto" w:sz="4" w:space="0"/>
              <w:left w:val="nil"/>
              <w:bottom w:val="single" w:color="auto" w:sz="4" w:space="0"/>
              <w:right w:val="single" w:color="auto" w:sz="4" w:space="0"/>
            </w:tcBorders>
            <w:shd w:val="clear" w:color="auto" w:fill="auto"/>
            <w:vAlign w:val="center"/>
          </w:tcPr>
          <w:p w14:paraId="7B28184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生产计划能够满足企业灵活多变的生产需求，工艺管理协助打造透明化的生产车间现场管理；系统还着力于解决企业质量追溯、成本核算、订单准交等议题，提升企业的核心竞争力。</w:t>
            </w:r>
          </w:p>
        </w:tc>
        <w:tc>
          <w:tcPr>
            <w:tcW w:w="2983" w:type="dxa"/>
            <w:tcBorders>
              <w:top w:val="single" w:color="auto" w:sz="4" w:space="0"/>
              <w:left w:val="nil"/>
              <w:bottom w:val="single" w:color="auto" w:sz="4" w:space="0"/>
              <w:right w:val="single" w:color="auto" w:sz="4" w:space="0"/>
            </w:tcBorders>
            <w:shd w:val="clear" w:color="auto" w:fill="auto"/>
            <w:vAlign w:val="center"/>
          </w:tcPr>
          <w:p w14:paraId="4C390F2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以计划为中心的离散型制造业的经营管理场景</w:t>
            </w:r>
          </w:p>
        </w:tc>
        <w:tc>
          <w:tcPr>
            <w:tcW w:w="1551" w:type="dxa"/>
            <w:tcBorders>
              <w:top w:val="single" w:color="auto" w:sz="4" w:space="0"/>
              <w:left w:val="nil"/>
              <w:bottom w:val="single" w:color="auto" w:sz="4" w:space="0"/>
              <w:right w:val="single" w:color="auto" w:sz="4" w:space="0"/>
            </w:tcBorders>
            <w:shd w:val="clear" w:color="auto" w:fill="auto"/>
            <w:vAlign w:val="center"/>
          </w:tcPr>
          <w:p w14:paraId="4407023E">
            <w:pPr>
              <w:widowControl/>
              <w:jc w:val="left"/>
              <w:textAlignment w:val="center"/>
              <w:rPr>
                <w:rFonts w:hint="default" w:ascii="仿宋_GB2312" w:hAnsi="仿宋_GB2312" w:eastAsia="仿宋_GB2312" w:cs="仿宋_GB2312"/>
                <w:kern w:val="0"/>
                <w:sz w:val="24"/>
                <w:szCs w:val="24"/>
                <w:lang w:val="en-US"/>
              </w:rPr>
            </w:pPr>
            <w:r>
              <w:rPr>
                <w:rFonts w:hint="eastAsia" w:ascii="仿宋_GB2312" w:hAnsi="宋体" w:eastAsia="仿宋_GB2312" w:cs="仿宋_GB2312"/>
                <w:color w:val="000000"/>
                <w:kern w:val="0"/>
                <w:sz w:val="24"/>
                <w:szCs w:val="24"/>
                <w:lang w:val="en-US" w:eastAsia="zh-CN" w:bidi="ar"/>
              </w:rPr>
              <w:t>25万元-200万元</w:t>
            </w:r>
          </w:p>
        </w:tc>
        <w:tc>
          <w:tcPr>
            <w:tcW w:w="3351" w:type="dxa"/>
            <w:tcBorders>
              <w:top w:val="single" w:color="auto" w:sz="4" w:space="0"/>
              <w:left w:val="nil"/>
              <w:bottom w:val="single" w:color="auto" w:sz="4" w:space="0"/>
              <w:right w:val="single" w:color="auto" w:sz="4" w:space="0"/>
            </w:tcBorders>
            <w:shd w:val="clear" w:color="auto" w:fill="auto"/>
            <w:vAlign w:val="center"/>
          </w:tcPr>
          <w:p w14:paraId="5BEDCB67">
            <w:pPr>
              <w:widowControl/>
              <w:tabs>
                <w:tab w:val="left" w:pos="1120"/>
              </w:tabs>
              <w:jc w:val="center"/>
              <w:rPr>
                <w:rFonts w:hint="eastAsia" w:ascii="仿宋_GB2312" w:hAnsi="仿宋_GB2312" w:eastAsia="仿宋_GB2312" w:cs="仿宋_GB2312"/>
                <w:kern w:val="0"/>
                <w:sz w:val="24"/>
                <w:szCs w:val="24"/>
              </w:rPr>
            </w:pPr>
          </w:p>
        </w:tc>
      </w:tr>
      <w:tr w14:paraId="1FBECF8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7C6F81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07296B4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鼎捷PLM</w:t>
            </w:r>
          </w:p>
        </w:tc>
        <w:tc>
          <w:tcPr>
            <w:tcW w:w="3722" w:type="dxa"/>
            <w:tcBorders>
              <w:top w:val="single" w:color="auto" w:sz="4" w:space="0"/>
              <w:left w:val="nil"/>
              <w:bottom w:val="single" w:color="auto" w:sz="4" w:space="0"/>
              <w:right w:val="single" w:color="auto" w:sz="4" w:space="0"/>
            </w:tcBorders>
            <w:shd w:val="clear" w:color="auto" w:fill="auto"/>
            <w:vAlign w:val="center"/>
          </w:tcPr>
          <w:p w14:paraId="5B04FDC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产品生命周期管理（PLM）主要目标是整合以PDM为核心的产品数据平台和以ERP为核心的产供销资源管理平台，减少中间环节，使所开发出来的产品更符合市场的需求。</w:t>
            </w:r>
          </w:p>
        </w:tc>
        <w:tc>
          <w:tcPr>
            <w:tcW w:w="2983" w:type="dxa"/>
            <w:tcBorders>
              <w:top w:val="single" w:color="auto" w:sz="4" w:space="0"/>
              <w:left w:val="nil"/>
              <w:bottom w:val="single" w:color="auto" w:sz="4" w:space="0"/>
              <w:right w:val="single" w:color="auto" w:sz="4" w:space="0"/>
            </w:tcBorders>
            <w:shd w:val="clear" w:color="auto" w:fill="auto"/>
            <w:vAlign w:val="center"/>
          </w:tcPr>
          <w:p w14:paraId="6988683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离散型制造业的研发设计管理场景</w:t>
            </w:r>
          </w:p>
        </w:tc>
        <w:tc>
          <w:tcPr>
            <w:tcW w:w="1551" w:type="dxa"/>
            <w:tcBorders>
              <w:top w:val="single" w:color="auto" w:sz="4" w:space="0"/>
              <w:left w:val="nil"/>
              <w:bottom w:val="single" w:color="auto" w:sz="4" w:space="0"/>
              <w:right w:val="single" w:color="auto" w:sz="4" w:space="0"/>
            </w:tcBorders>
            <w:shd w:val="clear" w:color="auto" w:fill="auto"/>
            <w:vAlign w:val="center"/>
          </w:tcPr>
          <w:p w14:paraId="3114387E">
            <w:pPr>
              <w:widowControl/>
              <w:jc w:val="left"/>
              <w:textAlignment w:val="center"/>
              <w:rPr>
                <w:rFonts w:hint="default" w:ascii="仿宋_GB2312" w:hAnsi="仿宋_GB2312" w:eastAsia="仿宋_GB2312" w:cs="仿宋_GB2312"/>
                <w:kern w:val="0"/>
                <w:sz w:val="24"/>
                <w:szCs w:val="24"/>
                <w:lang w:val="en-US"/>
              </w:rPr>
            </w:pPr>
            <w:r>
              <w:rPr>
                <w:rFonts w:hint="eastAsia" w:ascii="仿宋_GB2312" w:hAnsi="宋体" w:eastAsia="仿宋_GB2312" w:cs="仿宋_GB2312"/>
                <w:color w:val="000000"/>
                <w:kern w:val="0"/>
                <w:sz w:val="24"/>
                <w:szCs w:val="24"/>
                <w:lang w:val="en-US" w:eastAsia="zh-CN" w:bidi="ar"/>
              </w:rPr>
              <w:t>30万元-100万元</w:t>
            </w:r>
          </w:p>
        </w:tc>
        <w:tc>
          <w:tcPr>
            <w:tcW w:w="3351" w:type="dxa"/>
            <w:tcBorders>
              <w:top w:val="single" w:color="auto" w:sz="4" w:space="0"/>
              <w:left w:val="nil"/>
              <w:bottom w:val="single" w:color="auto" w:sz="4" w:space="0"/>
              <w:right w:val="single" w:color="auto" w:sz="4" w:space="0"/>
            </w:tcBorders>
            <w:shd w:val="clear" w:color="auto" w:fill="auto"/>
            <w:vAlign w:val="center"/>
          </w:tcPr>
          <w:p w14:paraId="6FC7FA0F">
            <w:pPr>
              <w:widowControl/>
              <w:tabs>
                <w:tab w:val="left" w:pos="1120"/>
              </w:tabs>
              <w:jc w:val="center"/>
              <w:rPr>
                <w:rFonts w:hint="eastAsia" w:ascii="仿宋_GB2312" w:hAnsi="仿宋_GB2312" w:eastAsia="仿宋_GB2312" w:cs="仿宋_GB2312"/>
                <w:kern w:val="0"/>
                <w:sz w:val="24"/>
                <w:szCs w:val="24"/>
              </w:rPr>
            </w:pPr>
          </w:p>
        </w:tc>
      </w:tr>
      <w:tr w14:paraId="308AAE1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62B506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76B805E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智联云仓（WMS）</w:t>
            </w:r>
          </w:p>
        </w:tc>
        <w:tc>
          <w:tcPr>
            <w:tcW w:w="3722" w:type="dxa"/>
            <w:tcBorders>
              <w:top w:val="single" w:color="auto" w:sz="4" w:space="0"/>
              <w:left w:val="nil"/>
              <w:bottom w:val="single" w:color="auto" w:sz="4" w:space="0"/>
              <w:right w:val="single" w:color="auto" w:sz="4" w:space="0"/>
            </w:tcBorders>
            <w:shd w:val="clear" w:color="auto" w:fill="auto"/>
            <w:vAlign w:val="center"/>
          </w:tcPr>
          <w:p w14:paraId="0CC89A8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智联云仓让企业无仓储物流管理之忧围绕企业仓储物流，智联云仓依托物联网、人工智能、云、大数据等技术，通过软件和配套硬件，帮助企业构建透明物流和可视仓库，优化线下业务流程，减少人工错误和浪费，实现货物快速追踪等。</w:t>
            </w:r>
          </w:p>
        </w:tc>
        <w:tc>
          <w:tcPr>
            <w:tcW w:w="2983" w:type="dxa"/>
            <w:tcBorders>
              <w:top w:val="single" w:color="auto" w:sz="4" w:space="0"/>
              <w:left w:val="nil"/>
              <w:bottom w:val="single" w:color="auto" w:sz="4" w:space="0"/>
              <w:right w:val="single" w:color="auto" w:sz="4" w:space="0"/>
            </w:tcBorders>
            <w:shd w:val="clear" w:color="auto" w:fill="auto"/>
            <w:vAlign w:val="center"/>
          </w:tcPr>
          <w:p w14:paraId="06DD453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仓储物流管理场景</w:t>
            </w:r>
          </w:p>
        </w:tc>
        <w:tc>
          <w:tcPr>
            <w:tcW w:w="1551" w:type="dxa"/>
            <w:tcBorders>
              <w:top w:val="single" w:color="auto" w:sz="4" w:space="0"/>
              <w:left w:val="nil"/>
              <w:bottom w:val="single" w:color="auto" w:sz="4" w:space="0"/>
              <w:right w:val="single" w:color="auto" w:sz="4" w:space="0"/>
            </w:tcBorders>
            <w:shd w:val="clear" w:color="auto" w:fill="auto"/>
            <w:vAlign w:val="center"/>
          </w:tcPr>
          <w:p w14:paraId="71B5722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20万元起</w:t>
            </w:r>
          </w:p>
        </w:tc>
        <w:tc>
          <w:tcPr>
            <w:tcW w:w="3351" w:type="dxa"/>
            <w:tcBorders>
              <w:top w:val="single" w:color="auto" w:sz="4" w:space="0"/>
              <w:left w:val="nil"/>
              <w:bottom w:val="single" w:color="auto" w:sz="4" w:space="0"/>
              <w:right w:val="single" w:color="auto" w:sz="4" w:space="0"/>
            </w:tcBorders>
            <w:shd w:val="clear" w:color="auto" w:fill="auto"/>
            <w:vAlign w:val="center"/>
          </w:tcPr>
          <w:p w14:paraId="58E9F35A">
            <w:pPr>
              <w:widowControl/>
              <w:tabs>
                <w:tab w:val="left" w:pos="1120"/>
              </w:tabs>
              <w:jc w:val="center"/>
              <w:rPr>
                <w:rFonts w:hint="eastAsia" w:ascii="仿宋_GB2312" w:hAnsi="仿宋_GB2312" w:eastAsia="仿宋_GB2312" w:cs="仿宋_GB2312"/>
                <w:kern w:val="0"/>
                <w:sz w:val="24"/>
                <w:szCs w:val="24"/>
              </w:rPr>
            </w:pPr>
          </w:p>
        </w:tc>
      </w:tr>
      <w:tr w14:paraId="519D1FA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345284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1F27250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鼎捷MES</w:t>
            </w:r>
          </w:p>
        </w:tc>
        <w:tc>
          <w:tcPr>
            <w:tcW w:w="3722" w:type="dxa"/>
            <w:tcBorders>
              <w:top w:val="single" w:color="auto" w:sz="4" w:space="0"/>
              <w:left w:val="nil"/>
              <w:bottom w:val="single" w:color="auto" w:sz="4" w:space="0"/>
              <w:right w:val="single" w:color="auto" w:sz="4" w:space="0"/>
            </w:tcBorders>
            <w:shd w:val="clear" w:color="auto" w:fill="auto"/>
            <w:vAlign w:val="center"/>
          </w:tcPr>
          <w:p w14:paraId="3BC4535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MES作为车间级的综合管理系统,向下采集层自动化控制系统各类设信息，对上承接ERP下达的生产计划，实现设备与工装工单派发、人员派工、质量管理、在制品管理产等功能的集成应用，与仓储物系统集成，打通制造环节的信息流。</w:t>
            </w:r>
          </w:p>
        </w:tc>
        <w:tc>
          <w:tcPr>
            <w:tcW w:w="2983" w:type="dxa"/>
            <w:tcBorders>
              <w:top w:val="single" w:color="auto" w:sz="4" w:space="0"/>
              <w:left w:val="nil"/>
              <w:bottom w:val="single" w:color="auto" w:sz="4" w:space="0"/>
              <w:right w:val="single" w:color="auto" w:sz="4" w:space="0"/>
            </w:tcBorders>
            <w:shd w:val="clear" w:color="auto" w:fill="auto"/>
            <w:vAlign w:val="center"/>
          </w:tcPr>
          <w:p w14:paraId="75BDE34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离散型制造业的生产过程管理、实现生产现场透明化、无纸化管理场景</w:t>
            </w:r>
          </w:p>
        </w:tc>
        <w:tc>
          <w:tcPr>
            <w:tcW w:w="1551" w:type="dxa"/>
            <w:tcBorders>
              <w:top w:val="single" w:color="auto" w:sz="4" w:space="0"/>
              <w:left w:val="nil"/>
              <w:bottom w:val="single" w:color="auto" w:sz="4" w:space="0"/>
              <w:right w:val="single" w:color="auto" w:sz="4" w:space="0"/>
            </w:tcBorders>
            <w:shd w:val="clear" w:color="auto" w:fill="auto"/>
            <w:vAlign w:val="center"/>
          </w:tcPr>
          <w:p w14:paraId="10C42CB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60万元-200万元</w:t>
            </w:r>
          </w:p>
        </w:tc>
        <w:tc>
          <w:tcPr>
            <w:tcW w:w="3351" w:type="dxa"/>
            <w:tcBorders>
              <w:top w:val="single" w:color="auto" w:sz="4" w:space="0"/>
              <w:left w:val="nil"/>
              <w:bottom w:val="single" w:color="auto" w:sz="4" w:space="0"/>
              <w:right w:val="single" w:color="auto" w:sz="4" w:space="0"/>
            </w:tcBorders>
            <w:shd w:val="clear" w:color="auto" w:fill="auto"/>
            <w:vAlign w:val="center"/>
          </w:tcPr>
          <w:p w14:paraId="50F495A4">
            <w:pPr>
              <w:widowControl/>
              <w:tabs>
                <w:tab w:val="left" w:pos="1120"/>
              </w:tabs>
              <w:jc w:val="center"/>
              <w:rPr>
                <w:rFonts w:hint="eastAsia" w:ascii="仿宋_GB2312" w:hAnsi="仿宋_GB2312" w:eastAsia="仿宋_GB2312" w:cs="仿宋_GB2312"/>
                <w:kern w:val="0"/>
                <w:sz w:val="24"/>
                <w:szCs w:val="24"/>
              </w:rPr>
            </w:pPr>
          </w:p>
        </w:tc>
      </w:tr>
      <w:tr w14:paraId="1B4F75D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D4F8A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6C54F3F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DataCloak零信任访问控制系统</w:t>
            </w:r>
          </w:p>
        </w:tc>
        <w:tc>
          <w:tcPr>
            <w:tcW w:w="3722" w:type="dxa"/>
            <w:tcBorders>
              <w:top w:val="single" w:color="auto" w:sz="4" w:space="0"/>
              <w:left w:val="nil"/>
              <w:bottom w:val="single" w:color="auto" w:sz="4" w:space="0"/>
              <w:right w:val="single" w:color="auto" w:sz="4" w:space="0"/>
            </w:tcBorders>
            <w:shd w:val="clear" w:color="auto" w:fill="auto"/>
            <w:vAlign w:val="center"/>
          </w:tcPr>
          <w:p w14:paraId="122032E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用户认证和权限控制、数据安全管控、系统和文件审计、网络管控、易用性</w:t>
            </w:r>
          </w:p>
        </w:tc>
        <w:tc>
          <w:tcPr>
            <w:tcW w:w="2983" w:type="dxa"/>
            <w:tcBorders>
              <w:top w:val="single" w:color="auto" w:sz="4" w:space="0"/>
              <w:left w:val="nil"/>
              <w:bottom w:val="single" w:color="auto" w:sz="4" w:space="0"/>
              <w:right w:val="single" w:color="auto" w:sz="4" w:space="0"/>
            </w:tcBorders>
            <w:shd w:val="clear" w:color="auto" w:fill="auto"/>
            <w:vAlign w:val="center"/>
          </w:tcPr>
          <w:p w14:paraId="784CCE2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核心数据资产保护、跨组织合作数据保护、远程办公数据保护、分支机构管理，供应链管理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358DCE5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订阅制，</w:t>
            </w:r>
            <w:r>
              <w:rPr>
                <w:rFonts w:hint="default" w:ascii="仿宋_GB2312" w:hAnsi="宋体" w:eastAsia="仿宋_GB2312" w:cs="仿宋_GB2312"/>
                <w:color w:val="000000"/>
                <w:kern w:val="0"/>
                <w:sz w:val="24"/>
                <w:szCs w:val="24"/>
                <w:lang w:val="en-US" w:eastAsia="zh-CN" w:bidi="ar"/>
              </w:rPr>
              <w:t>3000</w:t>
            </w:r>
            <w:r>
              <w:rPr>
                <w:rFonts w:hint="eastAsia" w:ascii="仿宋_GB2312" w:hAnsi="宋体" w:eastAsia="仿宋_GB2312" w:cs="仿宋_GB2312"/>
                <w:color w:val="000000"/>
                <w:kern w:val="0"/>
                <w:sz w:val="24"/>
                <w:szCs w:val="24"/>
                <w:lang w:val="en-US" w:eastAsia="zh-CN" w:bidi="ar"/>
              </w:rPr>
              <w:t>元</w:t>
            </w:r>
            <w:r>
              <w:rPr>
                <w:rFonts w:hint="default" w:ascii="仿宋_GB2312" w:hAnsi="宋体" w:eastAsia="仿宋_GB2312" w:cs="仿宋_GB2312"/>
                <w:color w:val="000000"/>
                <w:kern w:val="0"/>
                <w:sz w:val="24"/>
                <w:szCs w:val="24"/>
                <w:lang w:val="en-US" w:eastAsia="zh-CN" w:bidi="ar"/>
              </w:rPr>
              <w:t>/</w:t>
            </w:r>
            <w:r>
              <w:rPr>
                <w:rFonts w:hint="eastAsia" w:ascii="仿宋_GB2312" w:hAnsi="宋体" w:eastAsia="仿宋_GB2312" w:cs="仿宋_GB2312"/>
                <w:color w:val="000000"/>
                <w:kern w:val="0"/>
                <w:sz w:val="24"/>
                <w:szCs w:val="24"/>
                <w:lang w:val="en-US" w:eastAsia="zh-CN" w:bidi="ar"/>
              </w:rPr>
              <w:t>年</w:t>
            </w:r>
            <w:r>
              <w:rPr>
                <w:rFonts w:hint="default" w:ascii="仿宋_GB2312" w:hAnsi="宋体" w:eastAsia="仿宋_GB2312" w:cs="仿宋_GB2312"/>
                <w:color w:val="000000"/>
                <w:kern w:val="0"/>
                <w:sz w:val="24"/>
                <w:szCs w:val="24"/>
                <w:lang w:val="en-US" w:eastAsia="zh-CN" w:bidi="ar"/>
              </w:rPr>
              <w:t>/</w:t>
            </w:r>
            <w:r>
              <w:rPr>
                <w:rFonts w:hint="eastAsia" w:ascii="仿宋_GB2312" w:hAnsi="宋体" w:eastAsia="仿宋_GB2312" w:cs="仿宋_GB2312"/>
                <w:color w:val="000000"/>
                <w:kern w:val="0"/>
                <w:sz w:val="24"/>
                <w:szCs w:val="24"/>
                <w:lang w:val="en-US" w:eastAsia="zh-CN" w:bidi="ar"/>
              </w:rPr>
              <w:t>账户起，根据实际情况面议</w:t>
            </w:r>
          </w:p>
        </w:tc>
        <w:tc>
          <w:tcPr>
            <w:tcW w:w="3351" w:type="dxa"/>
            <w:tcBorders>
              <w:top w:val="single" w:color="auto" w:sz="4" w:space="0"/>
              <w:left w:val="nil"/>
              <w:bottom w:val="single" w:color="auto" w:sz="4" w:space="0"/>
              <w:right w:val="single" w:color="auto" w:sz="4" w:space="0"/>
            </w:tcBorders>
            <w:shd w:val="clear" w:color="auto" w:fill="auto"/>
            <w:vAlign w:val="center"/>
          </w:tcPr>
          <w:p w14:paraId="1C32AD1D">
            <w:pPr>
              <w:widowControl/>
              <w:tabs>
                <w:tab w:val="left" w:pos="1120"/>
              </w:tabs>
              <w:jc w:val="center"/>
              <w:rPr>
                <w:rFonts w:hint="eastAsia" w:ascii="仿宋_GB2312" w:hAnsi="仿宋_GB2312" w:eastAsia="仿宋_GB2312" w:cs="仿宋_GB2312"/>
                <w:kern w:val="0"/>
                <w:sz w:val="24"/>
                <w:szCs w:val="24"/>
              </w:rPr>
            </w:pPr>
          </w:p>
        </w:tc>
      </w:tr>
      <w:tr w14:paraId="3F47F5B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267BE39">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70F96EBD">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智能制造一体化运营管理平台</w:t>
            </w:r>
          </w:p>
        </w:tc>
        <w:tc>
          <w:tcPr>
            <w:tcW w:w="3722" w:type="dxa"/>
            <w:tcBorders>
              <w:top w:val="single" w:color="auto" w:sz="4" w:space="0"/>
              <w:left w:val="nil"/>
              <w:bottom w:val="single" w:color="auto" w:sz="4" w:space="0"/>
              <w:right w:val="single" w:color="auto" w:sz="4" w:space="0"/>
            </w:tcBorders>
            <w:shd w:val="clear" w:color="auto" w:fill="auto"/>
            <w:vAlign w:val="center"/>
          </w:tcPr>
          <w:p w14:paraId="2C1A474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智能制造一体化运营管理平台集成多个子系统，集成信息化管理平台整合轻量级ERP、SRM 等多种功能模块，解决企业多系统整合难题；IES系统盖生产建模、车间管理等多模块，实现生产全流程管理；供应链、CRM、财务管理等系统分别在采购、销售、财务核算等业务中发挥作用，全方位满足企业经营管理需求。</w:t>
            </w:r>
          </w:p>
        </w:tc>
        <w:tc>
          <w:tcPr>
            <w:tcW w:w="2983" w:type="dxa"/>
            <w:tcBorders>
              <w:top w:val="single" w:color="auto" w:sz="4" w:space="0"/>
              <w:left w:val="nil"/>
              <w:bottom w:val="single" w:color="auto" w:sz="4" w:space="0"/>
              <w:right w:val="single" w:color="auto" w:sz="4" w:space="0"/>
            </w:tcBorders>
            <w:shd w:val="clear" w:color="auto" w:fill="auto"/>
            <w:vAlign w:val="center"/>
          </w:tcPr>
          <w:p w14:paraId="072DBAD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研发设计、生产制造、供应链、销售、服务、财务管理、人力资源、数据管理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0064FB6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38万元-120万元</w:t>
            </w:r>
          </w:p>
        </w:tc>
        <w:tc>
          <w:tcPr>
            <w:tcW w:w="3351" w:type="dxa"/>
            <w:tcBorders>
              <w:top w:val="single" w:color="auto" w:sz="4" w:space="0"/>
              <w:left w:val="nil"/>
              <w:bottom w:val="single" w:color="auto" w:sz="4" w:space="0"/>
              <w:right w:val="single" w:color="auto" w:sz="4" w:space="0"/>
            </w:tcBorders>
            <w:shd w:val="clear" w:color="auto" w:fill="auto"/>
            <w:vAlign w:val="center"/>
          </w:tcPr>
          <w:p w14:paraId="3D0E8F71">
            <w:pPr>
              <w:widowControl/>
              <w:tabs>
                <w:tab w:val="left" w:pos="1120"/>
              </w:tabs>
              <w:jc w:val="center"/>
              <w:rPr>
                <w:rFonts w:hint="eastAsia" w:ascii="仿宋_GB2312" w:hAnsi="仿宋_GB2312" w:eastAsia="仿宋_GB2312" w:cs="仿宋_GB2312"/>
                <w:kern w:val="0"/>
                <w:sz w:val="24"/>
                <w:szCs w:val="24"/>
              </w:rPr>
            </w:pPr>
          </w:p>
        </w:tc>
      </w:tr>
      <w:tr w14:paraId="6D82E67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942B73E">
            <w:pPr>
              <w:widowControl/>
              <w:jc w:val="left"/>
              <w:textAlignment w:val="center"/>
              <w:rPr>
                <w:rFonts w:hint="eastAsia" w:ascii="仿宋_GB2312" w:hAnsi="宋体" w:eastAsia="仿宋_GB2312" w:cs="仿宋_GB2312"/>
                <w:color w:val="000000"/>
                <w:kern w:val="0"/>
                <w:sz w:val="24"/>
                <w:szCs w:val="24"/>
                <w:lang w:val="en-US" w:eastAsia="zh-CN" w:bidi="ar"/>
              </w:rPr>
            </w:pPr>
          </w:p>
          <w:p w14:paraId="56BF50D3">
            <w:pPr>
              <w:widowControl/>
              <w:jc w:val="left"/>
              <w:textAlignment w:val="center"/>
              <w:rPr>
                <w:rFonts w:hint="eastAsia" w:ascii="仿宋_GB2312" w:hAnsi="宋体" w:eastAsia="仿宋_GB2312" w:cs="仿宋_GB2312"/>
                <w:color w:val="000000"/>
                <w:kern w:val="0"/>
                <w:sz w:val="24"/>
                <w:szCs w:val="24"/>
                <w:lang w:val="en-US" w:eastAsia="zh-CN" w:bidi="ar"/>
              </w:rPr>
            </w:pPr>
          </w:p>
          <w:p w14:paraId="4AB16D3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6AC6F65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智能制造运营管理平台</w:t>
            </w:r>
          </w:p>
        </w:tc>
        <w:tc>
          <w:tcPr>
            <w:tcW w:w="3722" w:type="dxa"/>
            <w:tcBorders>
              <w:top w:val="single" w:color="auto" w:sz="4" w:space="0"/>
              <w:left w:val="nil"/>
              <w:bottom w:val="single" w:color="auto" w:sz="4" w:space="0"/>
              <w:right w:val="single" w:color="auto" w:sz="4" w:space="0"/>
            </w:tcBorders>
            <w:shd w:val="clear" w:color="auto" w:fill="auto"/>
            <w:vAlign w:val="center"/>
          </w:tcPr>
          <w:p w14:paraId="6DE52053">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提供覆盖企业全价值链的数字化解决方案，包括CRM（客户关系管理）、SCM（供应链管理）、ERP（企业资源计划）、PLM（产品生命周期管理）等系统，助力企业实现销研产供一体化管理。</w:t>
            </w:r>
          </w:p>
        </w:tc>
        <w:tc>
          <w:tcPr>
            <w:tcW w:w="2983" w:type="dxa"/>
            <w:tcBorders>
              <w:top w:val="single" w:color="auto" w:sz="4" w:space="0"/>
              <w:left w:val="nil"/>
              <w:bottom w:val="single" w:color="auto" w:sz="4" w:space="0"/>
              <w:right w:val="single" w:color="auto" w:sz="4" w:space="0"/>
            </w:tcBorders>
            <w:shd w:val="clear" w:color="auto" w:fill="auto"/>
            <w:vAlign w:val="center"/>
          </w:tcPr>
          <w:p w14:paraId="0A15FD54">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供应链与制造管理、信息化管理平台、​电商与新零售解决方案</w:t>
            </w:r>
          </w:p>
        </w:tc>
        <w:tc>
          <w:tcPr>
            <w:tcW w:w="1551" w:type="dxa"/>
            <w:tcBorders>
              <w:top w:val="single" w:color="auto" w:sz="4" w:space="0"/>
              <w:left w:val="nil"/>
              <w:bottom w:val="single" w:color="auto" w:sz="4" w:space="0"/>
              <w:right w:val="single" w:color="auto" w:sz="4" w:space="0"/>
            </w:tcBorders>
            <w:shd w:val="clear" w:color="auto" w:fill="auto"/>
            <w:vAlign w:val="center"/>
          </w:tcPr>
          <w:p w14:paraId="08A425A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60万元-200万元</w:t>
            </w:r>
          </w:p>
        </w:tc>
        <w:tc>
          <w:tcPr>
            <w:tcW w:w="3351" w:type="dxa"/>
            <w:tcBorders>
              <w:top w:val="single" w:color="auto" w:sz="4" w:space="0"/>
              <w:left w:val="nil"/>
              <w:bottom w:val="single" w:color="auto" w:sz="4" w:space="0"/>
              <w:right w:val="single" w:color="auto" w:sz="4" w:space="0"/>
            </w:tcBorders>
            <w:shd w:val="clear" w:color="auto" w:fill="auto"/>
            <w:vAlign w:val="center"/>
          </w:tcPr>
          <w:p w14:paraId="1C4562F8">
            <w:pPr>
              <w:widowControl/>
              <w:tabs>
                <w:tab w:val="left" w:pos="1120"/>
              </w:tabs>
              <w:jc w:val="center"/>
              <w:rPr>
                <w:rFonts w:hint="eastAsia" w:ascii="仿宋_GB2312" w:hAnsi="仿宋_GB2312" w:eastAsia="仿宋_GB2312" w:cs="仿宋_GB2312"/>
                <w:kern w:val="0"/>
                <w:sz w:val="24"/>
                <w:szCs w:val="24"/>
              </w:rPr>
            </w:pPr>
          </w:p>
        </w:tc>
      </w:tr>
      <w:tr w14:paraId="3D73C1B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1D0626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5B2CE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智能物流仓储整合系统</w:t>
            </w:r>
          </w:p>
        </w:tc>
        <w:tc>
          <w:tcPr>
            <w:tcW w:w="3722" w:type="dxa"/>
            <w:tcBorders>
              <w:top w:val="single" w:color="auto" w:sz="4" w:space="0"/>
              <w:left w:val="nil"/>
              <w:bottom w:val="single" w:color="auto" w:sz="4" w:space="0"/>
              <w:right w:val="single" w:color="auto" w:sz="4" w:space="0"/>
            </w:tcBorders>
            <w:shd w:val="clear" w:color="auto" w:fill="auto"/>
            <w:vAlign w:val="center"/>
          </w:tcPr>
          <w:p w14:paraId="3ED5A76E">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仓储管理系统（WMS），产品包含用户权限、基础数据、入库管理、库存管理、出库管理、物料批次管理，实现与ERP、MES、SRM、QMS等企业平台的仓库物料数据交互，保证账物一致性。</w:t>
            </w:r>
            <w:r>
              <w:rPr>
                <w:rFonts w:hint="eastAsia" w:ascii="仿宋_GB2312" w:hAnsi="宋体" w:eastAsia="仿宋_GB2312" w:cs="仿宋_GB2312"/>
                <w:color w:val="000000"/>
                <w:kern w:val="0"/>
                <w:sz w:val="24"/>
                <w:szCs w:val="24"/>
                <w:lang w:val="en-US" w:eastAsia="zh-CN" w:bidi="ar"/>
              </w:rPr>
              <w:br w:type="textWrapping"/>
            </w:r>
            <w:r>
              <w:rPr>
                <w:rFonts w:hint="eastAsia" w:ascii="仿宋_GB2312" w:hAnsi="宋体" w:eastAsia="仿宋_GB2312" w:cs="仿宋_GB2312"/>
                <w:color w:val="000000"/>
                <w:kern w:val="0"/>
                <w:sz w:val="24"/>
                <w:szCs w:val="24"/>
                <w:lang w:val="en-US" w:eastAsia="zh-CN" w:bidi="ar"/>
              </w:rPr>
              <w:t>仓储控制系统（WCS），产品包含用户权限、基础数据、储位管理、任务执行管理、设备集成控制与调度，串联仓储管理系统（WMS）与移动机器人调度系统</w:t>
            </w:r>
            <w:r>
              <w:rPr>
                <w:rFonts w:hint="eastAsia" w:ascii="仿宋_GB2312" w:hAnsi="宋体" w:eastAsia="仿宋_GB2312" w:cs="仿宋_GB2312"/>
                <w:color w:val="000000"/>
                <w:kern w:val="0"/>
                <w:sz w:val="24"/>
                <w:szCs w:val="24"/>
                <w:lang w:val="en-US" w:eastAsia="zh-CN" w:bidi="ar"/>
              </w:rPr>
              <w:br w:type="textWrapping"/>
            </w:r>
            <w:r>
              <w:rPr>
                <w:rFonts w:hint="eastAsia" w:ascii="仿宋_GB2312" w:hAnsi="宋体" w:eastAsia="仿宋_GB2312" w:cs="仿宋_GB2312"/>
                <w:color w:val="000000"/>
                <w:kern w:val="0"/>
                <w:sz w:val="24"/>
                <w:szCs w:val="24"/>
                <w:lang w:val="en-US" w:eastAsia="zh-CN" w:bidi="ar"/>
              </w:rPr>
              <w:t>现场制造执⾏系统（MES）：</w:t>
            </w:r>
            <w:r>
              <w:rPr>
                <w:rFonts w:hint="eastAsia" w:ascii="仿宋_GB2312" w:hAnsi="宋体" w:eastAsia="仿宋_GB2312" w:cs="仿宋_GB2312"/>
                <w:color w:val="000000"/>
                <w:kern w:val="0"/>
                <w:sz w:val="24"/>
                <w:szCs w:val="24"/>
                <w:lang w:val="en-US" w:eastAsia="zh-CN" w:bidi="ar"/>
              </w:rPr>
              <w:br w:type="textWrapping"/>
            </w:r>
            <w:r>
              <w:rPr>
                <w:rFonts w:hint="eastAsia" w:ascii="仿宋_GB2312" w:hAnsi="宋体" w:eastAsia="仿宋_GB2312" w:cs="仿宋_GB2312"/>
                <w:color w:val="000000"/>
                <w:kern w:val="0"/>
                <w:sz w:val="24"/>
                <w:szCs w:val="24"/>
                <w:lang w:val="en-US" w:eastAsia="zh-CN" w:bidi="ar"/>
              </w:rPr>
              <w:t>产品包含用户权限、基础数据、工单管理、生产管理、质量管理、物料管理、设备管理，实现与ERP、WMS、WCS等企业平台的数据交互，实现生产工单管理智能化、保障产品质量。</w:t>
            </w:r>
          </w:p>
        </w:tc>
        <w:tc>
          <w:tcPr>
            <w:tcW w:w="2983" w:type="dxa"/>
            <w:tcBorders>
              <w:top w:val="single" w:color="auto" w:sz="4" w:space="0"/>
              <w:left w:val="nil"/>
              <w:bottom w:val="single" w:color="auto" w:sz="4" w:space="0"/>
              <w:right w:val="single" w:color="auto" w:sz="4" w:space="0"/>
            </w:tcBorders>
            <w:shd w:val="clear" w:color="auto" w:fill="auto"/>
            <w:vAlign w:val="center"/>
          </w:tcPr>
          <w:p w14:paraId="2584EBD2">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val="en-US" w:eastAsia="zh-CN" w:bidi="ar"/>
              </w:rPr>
              <w:t>用于制造业工厂仓库信息化管理</w:t>
            </w:r>
            <w:r>
              <w:rPr>
                <w:rFonts w:hint="eastAsia" w:ascii="仿宋_GB2312" w:hAnsi="宋体" w:eastAsia="仿宋_GB2312" w:cs="仿宋_GB2312"/>
                <w:color w:val="000000"/>
                <w:kern w:val="0"/>
                <w:sz w:val="24"/>
                <w:szCs w:val="24"/>
                <w:lang w:val="en-US" w:eastAsia="zh-CN" w:bidi="ar"/>
              </w:rPr>
              <w:br w:type="textWrapping"/>
            </w:r>
            <w:r>
              <w:rPr>
                <w:rFonts w:hint="eastAsia" w:ascii="仿宋_GB2312" w:hAnsi="宋体" w:eastAsia="仿宋_GB2312" w:cs="仿宋_GB2312"/>
                <w:color w:val="000000"/>
                <w:kern w:val="0"/>
                <w:sz w:val="24"/>
                <w:szCs w:val="24"/>
                <w:lang w:val="en-US" w:eastAsia="zh-CN" w:bidi="ar"/>
              </w:rPr>
              <w:t>用于制造业工厂仓库自动化设备集成控制与调度</w:t>
            </w:r>
            <w:r>
              <w:rPr>
                <w:rFonts w:hint="eastAsia" w:ascii="仿宋_GB2312" w:hAnsi="宋体" w:eastAsia="仿宋_GB2312" w:cs="仿宋_GB2312"/>
                <w:color w:val="000000"/>
                <w:kern w:val="0"/>
                <w:sz w:val="24"/>
                <w:szCs w:val="24"/>
                <w:lang w:val="en-US" w:eastAsia="zh-CN" w:bidi="ar"/>
              </w:rPr>
              <w:br w:type="textWrapping"/>
            </w:r>
            <w:r>
              <w:rPr>
                <w:rFonts w:hint="eastAsia" w:ascii="仿宋_GB2312" w:hAnsi="宋体" w:eastAsia="仿宋_GB2312" w:cs="仿宋_GB2312"/>
                <w:color w:val="000000"/>
                <w:kern w:val="0"/>
                <w:sz w:val="24"/>
                <w:szCs w:val="24"/>
                <w:lang w:val="en-US" w:eastAsia="zh-CN" w:bidi="ar"/>
              </w:rPr>
              <w:t>用于制造业工厂生产车间信息化管理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7757AE5A">
            <w:pPr>
              <w:widowControl/>
              <w:jc w:val="left"/>
              <w:textAlignment w:val="center"/>
              <w:rPr>
                <w:rFonts w:hint="default" w:ascii="仿宋_GB2312" w:hAnsi="仿宋_GB2312" w:eastAsia="仿宋_GB2312" w:cs="仿宋_GB2312"/>
                <w:kern w:val="0"/>
                <w:sz w:val="24"/>
                <w:szCs w:val="24"/>
                <w:lang w:val="en-US"/>
              </w:rPr>
            </w:pPr>
            <w:r>
              <w:rPr>
                <w:rFonts w:hint="eastAsia" w:ascii="仿宋_GB2312" w:hAnsi="宋体" w:eastAsia="仿宋_GB2312" w:cs="仿宋_GB2312"/>
                <w:color w:val="000000"/>
                <w:kern w:val="0"/>
                <w:sz w:val="24"/>
                <w:szCs w:val="24"/>
                <w:lang w:val="en-US" w:eastAsia="zh-CN" w:bidi="ar"/>
              </w:rPr>
              <w:t>30万元-150万元</w:t>
            </w:r>
          </w:p>
        </w:tc>
        <w:tc>
          <w:tcPr>
            <w:tcW w:w="3351" w:type="dxa"/>
            <w:tcBorders>
              <w:top w:val="single" w:color="auto" w:sz="4" w:space="0"/>
              <w:left w:val="nil"/>
              <w:bottom w:val="single" w:color="auto" w:sz="4" w:space="0"/>
              <w:right w:val="single" w:color="auto" w:sz="4" w:space="0"/>
            </w:tcBorders>
            <w:shd w:val="clear" w:color="auto" w:fill="auto"/>
            <w:vAlign w:val="center"/>
          </w:tcPr>
          <w:p w14:paraId="79C8B571">
            <w:pPr>
              <w:widowControl/>
              <w:tabs>
                <w:tab w:val="left" w:pos="1120"/>
              </w:tabs>
              <w:jc w:val="center"/>
              <w:rPr>
                <w:rFonts w:hint="eastAsia" w:ascii="仿宋_GB2312" w:hAnsi="仿宋_GB2312" w:eastAsia="仿宋_GB2312" w:cs="仿宋_GB2312"/>
                <w:kern w:val="0"/>
                <w:sz w:val="24"/>
                <w:szCs w:val="24"/>
              </w:rPr>
            </w:pPr>
          </w:p>
        </w:tc>
      </w:tr>
      <w:tr w14:paraId="77BE81C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F7DB6EC">
            <w:pPr>
              <w:widowControl/>
              <w:jc w:val="left"/>
              <w:textAlignment w:val="center"/>
              <w:rPr>
                <w:rFonts w:hint="default" w:ascii="仿宋_GB2312" w:hAnsi="仿宋_GB2312" w:eastAsia="仿宋_GB2312" w:cs="仿宋_GB2312"/>
                <w:kern w:val="0"/>
                <w:sz w:val="24"/>
                <w:szCs w:val="24"/>
                <w:lang w:val="en-US" w:eastAsia="zh-CN"/>
              </w:rPr>
            </w:pPr>
            <w:r>
              <w:rPr>
                <w:rFonts w:hint="eastAsia" w:ascii="仿宋_GB2312" w:hAnsi="宋体" w:eastAsia="仿宋_GB2312" w:cs="仿宋_GB2312"/>
                <w:color w:val="000000"/>
                <w:kern w:val="0"/>
                <w:sz w:val="24"/>
                <w:szCs w:val="24"/>
                <w:lang w:val="en-US" w:eastAsia="zh-CN" w:bidi="ar"/>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11465ED2">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val="en-US" w:eastAsia="zh-CN" w:bidi="ar"/>
              </w:rPr>
              <w:t>移动机器人调度系统</w:t>
            </w:r>
          </w:p>
        </w:tc>
        <w:tc>
          <w:tcPr>
            <w:tcW w:w="3722" w:type="dxa"/>
            <w:tcBorders>
              <w:top w:val="single" w:color="auto" w:sz="4" w:space="0"/>
              <w:left w:val="nil"/>
              <w:bottom w:val="single" w:color="auto" w:sz="4" w:space="0"/>
              <w:right w:val="single" w:color="auto" w:sz="4" w:space="0"/>
            </w:tcBorders>
            <w:shd w:val="clear" w:color="auto" w:fill="auto"/>
            <w:vAlign w:val="center"/>
          </w:tcPr>
          <w:p w14:paraId="7BC7635C">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val="en-US" w:eastAsia="zh-CN" w:bidi="ar"/>
              </w:rPr>
              <w:t>移动机器人调度系统：</w:t>
            </w:r>
            <w:r>
              <w:rPr>
                <w:rFonts w:hint="eastAsia" w:ascii="仿宋_GB2312" w:hAnsi="宋体" w:eastAsia="仿宋_GB2312" w:cs="仿宋_GB2312"/>
                <w:color w:val="000000"/>
                <w:kern w:val="0"/>
                <w:sz w:val="24"/>
                <w:szCs w:val="24"/>
                <w:lang w:val="en-US" w:eastAsia="zh-CN" w:bidi="ar"/>
              </w:rPr>
              <w:br w:type="textWrapping"/>
            </w:r>
            <w:r>
              <w:rPr>
                <w:rFonts w:hint="eastAsia" w:ascii="仿宋_GB2312" w:hAnsi="宋体" w:eastAsia="仿宋_GB2312" w:cs="仿宋_GB2312"/>
                <w:color w:val="000000"/>
                <w:kern w:val="0"/>
                <w:sz w:val="24"/>
                <w:szCs w:val="24"/>
                <w:lang w:val="en-US" w:eastAsia="zh-CN" w:bidi="ar"/>
              </w:rPr>
              <w:t>1）任务管理与导航规划：根据任务优先级、移动机器人位置及状态，动态分配任务</w:t>
            </w:r>
            <w:r>
              <w:rPr>
                <w:rFonts w:hint="eastAsia" w:ascii="仿宋_GB2312" w:hAnsi="宋体" w:eastAsia="仿宋_GB2312" w:cs="仿宋_GB2312"/>
                <w:color w:val="000000"/>
                <w:kern w:val="0"/>
                <w:sz w:val="24"/>
                <w:szCs w:val="24"/>
                <w:lang w:val="en-US" w:eastAsia="zh-CN" w:bidi="ar"/>
              </w:rPr>
              <w:br w:type="textWrapping"/>
            </w:r>
            <w:r>
              <w:rPr>
                <w:rFonts w:hint="eastAsia" w:ascii="仿宋_GB2312" w:hAnsi="宋体" w:eastAsia="仿宋_GB2312" w:cs="仿宋_GB2312"/>
                <w:color w:val="000000"/>
                <w:kern w:val="0"/>
                <w:sz w:val="24"/>
                <w:szCs w:val="24"/>
                <w:lang w:val="en-US" w:eastAsia="zh-CN" w:bidi="ar"/>
              </w:rPr>
              <w:t>2）交通管制：路线交叉口进行交管避让，避免AGV碰撞</w:t>
            </w:r>
            <w:r>
              <w:rPr>
                <w:rFonts w:hint="eastAsia" w:ascii="仿宋_GB2312" w:hAnsi="宋体" w:eastAsia="仿宋_GB2312" w:cs="仿宋_GB2312"/>
                <w:color w:val="000000"/>
                <w:kern w:val="0"/>
                <w:sz w:val="24"/>
                <w:szCs w:val="24"/>
                <w:lang w:val="en-US" w:eastAsia="zh-CN" w:bidi="ar"/>
              </w:rPr>
              <w:br w:type="textWrapping"/>
            </w:r>
            <w:r>
              <w:rPr>
                <w:rFonts w:hint="eastAsia" w:ascii="仿宋_GB2312" w:hAnsi="宋体" w:eastAsia="仿宋_GB2312" w:cs="仿宋_GB2312"/>
                <w:color w:val="000000"/>
                <w:kern w:val="0"/>
                <w:sz w:val="24"/>
                <w:szCs w:val="24"/>
                <w:lang w:val="en-US" w:eastAsia="zh-CN" w:bidi="ar"/>
              </w:rPr>
              <w:t>3）自动充电：实时监控AGV电量状态，低于设定阀值或闲时自动派发充电任务</w:t>
            </w:r>
            <w:r>
              <w:rPr>
                <w:rFonts w:hint="eastAsia" w:ascii="仿宋_GB2312" w:hAnsi="宋体" w:eastAsia="仿宋_GB2312" w:cs="仿宋_GB2312"/>
                <w:color w:val="000000"/>
                <w:kern w:val="0"/>
                <w:sz w:val="24"/>
                <w:szCs w:val="24"/>
                <w:lang w:val="en-US" w:eastAsia="zh-CN" w:bidi="ar"/>
              </w:rPr>
              <w:br w:type="textWrapping"/>
            </w:r>
            <w:r>
              <w:rPr>
                <w:rFonts w:hint="eastAsia" w:ascii="仿宋_GB2312" w:hAnsi="宋体" w:eastAsia="仿宋_GB2312" w:cs="仿宋_GB2312"/>
                <w:color w:val="000000"/>
                <w:kern w:val="0"/>
                <w:sz w:val="24"/>
                <w:szCs w:val="24"/>
                <w:lang w:val="en-US" w:eastAsia="zh-CN" w:bidi="ar"/>
              </w:rPr>
              <w:t>4）跨层调度：移动机器人与电梯/提升机联动控制进行搬运跨层</w:t>
            </w:r>
            <w:r>
              <w:rPr>
                <w:rFonts w:hint="eastAsia" w:ascii="仿宋_GB2312" w:hAnsi="宋体" w:eastAsia="仿宋_GB2312" w:cs="仿宋_GB2312"/>
                <w:color w:val="000000"/>
                <w:kern w:val="0"/>
                <w:sz w:val="24"/>
                <w:szCs w:val="24"/>
                <w:lang w:val="en-US" w:eastAsia="zh-CN" w:bidi="ar"/>
              </w:rPr>
              <w:br w:type="textWrapping"/>
            </w:r>
            <w:r>
              <w:rPr>
                <w:rFonts w:hint="eastAsia" w:ascii="仿宋_GB2312" w:hAnsi="宋体" w:eastAsia="仿宋_GB2312" w:cs="仿宋_GB2312"/>
                <w:color w:val="000000"/>
                <w:kern w:val="0"/>
                <w:sz w:val="24"/>
                <w:szCs w:val="24"/>
                <w:lang w:val="en-US" w:eastAsia="zh-CN" w:bidi="ar"/>
              </w:rPr>
              <w:t>5）实时监控与可视化：实时显示移动机器人的位置、状态、任务进度、电量，故障触发通知与警报</w:t>
            </w:r>
            <w:r>
              <w:rPr>
                <w:rFonts w:hint="eastAsia" w:ascii="仿宋_GB2312" w:hAnsi="宋体" w:eastAsia="仿宋_GB2312" w:cs="仿宋_GB2312"/>
                <w:color w:val="000000"/>
                <w:kern w:val="0"/>
                <w:sz w:val="24"/>
                <w:szCs w:val="24"/>
                <w:lang w:val="en-US" w:eastAsia="zh-CN" w:bidi="ar"/>
              </w:rPr>
              <w:br w:type="textWrapping"/>
            </w:r>
            <w:r>
              <w:rPr>
                <w:rFonts w:hint="eastAsia" w:ascii="仿宋_GB2312" w:hAnsi="宋体" w:eastAsia="仿宋_GB2312" w:cs="仿宋_GB2312"/>
                <w:color w:val="000000"/>
                <w:kern w:val="0"/>
                <w:sz w:val="24"/>
                <w:szCs w:val="24"/>
                <w:lang w:val="en-US" w:eastAsia="zh-CN" w:bidi="ar"/>
              </w:rPr>
              <w:t>6）与上位系统对接：接收WMS、WCS、MES任务指令</w:t>
            </w:r>
          </w:p>
        </w:tc>
        <w:tc>
          <w:tcPr>
            <w:tcW w:w="2983" w:type="dxa"/>
            <w:tcBorders>
              <w:top w:val="single" w:color="auto" w:sz="4" w:space="0"/>
              <w:left w:val="nil"/>
              <w:bottom w:val="single" w:color="auto" w:sz="4" w:space="0"/>
              <w:right w:val="single" w:color="auto" w:sz="4" w:space="0"/>
            </w:tcBorders>
            <w:shd w:val="clear" w:color="auto" w:fill="auto"/>
            <w:vAlign w:val="center"/>
          </w:tcPr>
          <w:p w14:paraId="15282816">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val="en-US" w:eastAsia="zh-CN" w:bidi="ar"/>
              </w:rPr>
              <w:t>用于制造业工厂AGV调度管理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51AC3CA4">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val="en-US" w:eastAsia="zh-CN" w:bidi="ar"/>
              </w:rPr>
              <w:t>3万元-15万元</w:t>
            </w:r>
          </w:p>
        </w:tc>
        <w:tc>
          <w:tcPr>
            <w:tcW w:w="3351" w:type="dxa"/>
            <w:tcBorders>
              <w:top w:val="single" w:color="auto" w:sz="4" w:space="0"/>
              <w:left w:val="nil"/>
              <w:bottom w:val="single" w:color="auto" w:sz="4" w:space="0"/>
              <w:right w:val="single" w:color="auto" w:sz="4" w:space="0"/>
            </w:tcBorders>
            <w:shd w:val="clear" w:color="auto" w:fill="auto"/>
            <w:vAlign w:val="center"/>
          </w:tcPr>
          <w:p w14:paraId="6E3DD0EF">
            <w:pPr>
              <w:widowControl/>
              <w:tabs>
                <w:tab w:val="left" w:pos="1120"/>
              </w:tabs>
              <w:jc w:val="center"/>
              <w:rPr>
                <w:rFonts w:hint="eastAsia" w:ascii="仿宋_GB2312" w:hAnsi="仿宋_GB2312" w:eastAsia="仿宋_GB2312" w:cs="仿宋_GB2312"/>
                <w:kern w:val="0"/>
                <w:sz w:val="24"/>
                <w:szCs w:val="24"/>
              </w:rPr>
            </w:pPr>
          </w:p>
        </w:tc>
      </w:tr>
      <w:tr w14:paraId="7C08E21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576FBBF">
            <w:pPr>
              <w:widowControl/>
              <w:jc w:val="left"/>
              <w:textAlignment w:val="center"/>
              <w:rPr>
                <w:rFonts w:hint="default" w:ascii="仿宋_GB2312" w:hAnsi="仿宋_GB2312" w:eastAsia="仿宋_GB2312" w:cs="仿宋_GB2312"/>
                <w:kern w:val="0"/>
                <w:sz w:val="24"/>
                <w:szCs w:val="24"/>
                <w:lang w:val="en-US" w:eastAsia="zh-CN"/>
              </w:rPr>
            </w:pPr>
            <w:r>
              <w:rPr>
                <w:rFonts w:hint="eastAsia" w:ascii="仿宋_GB2312" w:hAnsi="宋体" w:eastAsia="仿宋_GB2312" w:cs="仿宋_GB2312"/>
                <w:color w:val="000000"/>
                <w:kern w:val="0"/>
                <w:sz w:val="24"/>
                <w:szCs w:val="24"/>
                <w:lang w:val="en-US" w:eastAsia="zh-CN" w:bidi="ar"/>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423B9D9">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val="en-US" w:eastAsia="zh-CN" w:bidi="ar"/>
              </w:rPr>
              <w:t>BI看板系统</w:t>
            </w:r>
          </w:p>
        </w:tc>
        <w:tc>
          <w:tcPr>
            <w:tcW w:w="3722" w:type="dxa"/>
            <w:tcBorders>
              <w:top w:val="single" w:color="auto" w:sz="4" w:space="0"/>
              <w:left w:val="nil"/>
              <w:bottom w:val="single" w:color="auto" w:sz="4" w:space="0"/>
              <w:right w:val="single" w:color="auto" w:sz="4" w:space="0"/>
            </w:tcBorders>
            <w:shd w:val="clear" w:color="auto" w:fill="auto"/>
            <w:vAlign w:val="center"/>
          </w:tcPr>
          <w:p w14:paraId="6B0221C6">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val="en-US" w:eastAsia="zh-CN" w:bidi="ar"/>
              </w:rPr>
              <w:t>生产及设备数据采集、编译、分析、大数据呈现辅助智慧决策与智慧运营</w:t>
            </w:r>
          </w:p>
        </w:tc>
        <w:tc>
          <w:tcPr>
            <w:tcW w:w="2983" w:type="dxa"/>
            <w:tcBorders>
              <w:top w:val="single" w:color="auto" w:sz="4" w:space="0"/>
              <w:left w:val="nil"/>
              <w:bottom w:val="single" w:color="auto" w:sz="4" w:space="0"/>
              <w:right w:val="single" w:color="auto" w:sz="4" w:space="0"/>
            </w:tcBorders>
            <w:shd w:val="clear" w:color="auto" w:fill="auto"/>
            <w:vAlign w:val="center"/>
          </w:tcPr>
          <w:p w14:paraId="616DC4FB">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val="en-US" w:eastAsia="zh-CN" w:bidi="ar"/>
              </w:rPr>
              <w:t>用于制造业工厂数字化运营管理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7D0C22FB">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val="en-US" w:eastAsia="zh-CN" w:bidi="ar"/>
              </w:rPr>
              <w:t>5万元-30万元</w:t>
            </w:r>
          </w:p>
        </w:tc>
        <w:tc>
          <w:tcPr>
            <w:tcW w:w="3351" w:type="dxa"/>
            <w:tcBorders>
              <w:top w:val="single" w:color="auto" w:sz="4" w:space="0"/>
              <w:left w:val="nil"/>
              <w:bottom w:val="single" w:color="auto" w:sz="4" w:space="0"/>
              <w:right w:val="single" w:color="auto" w:sz="4" w:space="0"/>
            </w:tcBorders>
            <w:shd w:val="clear" w:color="auto" w:fill="auto"/>
            <w:vAlign w:val="center"/>
          </w:tcPr>
          <w:p w14:paraId="0FAC6720">
            <w:pPr>
              <w:widowControl/>
              <w:tabs>
                <w:tab w:val="left" w:pos="1120"/>
              </w:tabs>
              <w:jc w:val="center"/>
              <w:rPr>
                <w:rFonts w:hint="eastAsia" w:ascii="仿宋_GB2312" w:hAnsi="仿宋_GB2312" w:eastAsia="仿宋_GB2312" w:cs="仿宋_GB2312"/>
                <w:kern w:val="0"/>
                <w:sz w:val="24"/>
                <w:szCs w:val="24"/>
              </w:rPr>
            </w:pPr>
          </w:p>
        </w:tc>
      </w:tr>
    </w:tbl>
    <w:p w14:paraId="34D2192E">
      <w:pPr>
        <w:rPr>
          <w:rFonts w:hint="eastAsia"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438CB6C7">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（三）联合体成员：中国电信股份有限公司佛山分公司</w:t>
      </w:r>
    </w:p>
    <w:tbl>
      <w:tblPr>
        <w:tblStyle w:val="14"/>
        <w:tblW w:w="0" w:type="auto"/>
        <w:tblInd w:w="113" w:type="dxa"/>
        <w:tblLayout w:type="autofit"/>
        <w:tblCellMar>
          <w:top w:w="0" w:type="dxa"/>
          <w:left w:w="108" w:type="dxa"/>
          <w:bottom w:w="0" w:type="dxa"/>
          <w:right w:w="108" w:type="dxa"/>
        </w:tblCellMar>
      </w:tblPr>
      <w:tblGrid>
        <w:gridCol w:w="806"/>
        <w:gridCol w:w="1511"/>
        <w:gridCol w:w="2317"/>
        <w:gridCol w:w="4386"/>
        <w:gridCol w:w="1556"/>
        <w:gridCol w:w="3841"/>
      </w:tblGrid>
      <w:tr w14:paraId="647BD25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8DB69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7CA616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7" w:type="dxa"/>
            <w:tcBorders>
              <w:top w:val="single" w:color="auto" w:sz="4" w:space="0"/>
              <w:left w:val="nil"/>
              <w:bottom w:val="single" w:color="auto" w:sz="4" w:space="0"/>
              <w:right w:val="single" w:color="auto" w:sz="4" w:space="0"/>
            </w:tcBorders>
            <w:shd w:val="clear" w:color="auto" w:fill="auto"/>
            <w:vAlign w:val="center"/>
          </w:tcPr>
          <w:p w14:paraId="5A9F25E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6" w:type="dxa"/>
            <w:tcBorders>
              <w:top w:val="single" w:color="auto" w:sz="4" w:space="0"/>
              <w:left w:val="nil"/>
              <w:bottom w:val="single" w:color="auto" w:sz="4" w:space="0"/>
              <w:right w:val="single" w:color="auto" w:sz="4" w:space="0"/>
            </w:tcBorders>
            <w:shd w:val="clear" w:color="auto" w:fill="auto"/>
            <w:vAlign w:val="center"/>
          </w:tcPr>
          <w:p w14:paraId="7B43C25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6" w:type="dxa"/>
            <w:tcBorders>
              <w:top w:val="single" w:color="auto" w:sz="4" w:space="0"/>
              <w:left w:val="nil"/>
              <w:bottom w:val="single" w:color="auto" w:sz="4" w:space="0"/>
              <w:right w:val="single" w:color="auto" w:sz="4" w:space="0"/>
            </w:tcBorders>
            <w:shd w:val="clear" w:color="auto" w:fill="auto"/>
            <w:vAlign w:val="center"/>
          </w:tcPr>
          <w:p w14:paraId="5F0DCA96">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41" w:type="dxa"/>
            <w:tcBorders>
              <w:top w:val="single" w:color="auto" w:sz="4" w:space="0"/>
              <w:left w:val="nil"/>
              <w:bottom w:val="single" w:color="auto" w:sz="4" w:space="0"/>
              <w:right w:val="single" w:color="auto" w:sz="4" w:space="0"/>
            </w:tcBorders>
            <w:shd w:val="clear" w:color="auto" w:fill="auto"/>
            <w:vAlign w:val="center"/>
          </w:tcPr>
          <w:p w14:paraId="46D6F6B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1571C1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AE649B7">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E9993E3">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小翼ERP</w:t>
            </w:r>
          </w:p>
        </w:tc>
        <w:tc>
          <w:tcPr>
            <w:tcW w:w="2317" w:type="dxa"/>
            <w:tcBorders>
              <w:top w:val="single" w:color="auto" w:sz="4" w:space="0"/>
              <w:left w:val="nil"/>
              <w:bottom w:val="single" w:color="auto" w:sz="4" w:space="0"/>
              <w:right w:val="single" w:color="auto" w:sz="4" w:space="0"/>
            </w:tcBorders>
            <w:shd w:val="clear" w:color="auto" w:fill="auto"/>
            <w:vAlign w:val="center"/>
          </w:tcPr>
          <w:p w14:paraId="244AD339">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用于工业企业内网建设和改造，采用无源光网络（PON）技术为园区、企业独立组网，可承载企业生产、办公、安防等业务的数据传输， 满足企业新建网络和改造网络的需求。</w:t>
            </w:r>
          </w:p>
        </w:tc>
        <w:tc>
          <w:tcPr>
            <w:tcW w:w="4386" w:type="dxa"/>
            <w:tcBorders>
              <w:top w:val="single" w:color="auto" w:sz="4" w:space="0"/>
              <w:left w:val="nil"/>
              <w:bottom w:val="single" w:color="auto" w:sz="4" w:space="0"/>
              <w:right w:val="single" w:color="auto" w:sz="4" w:space="0"/>
            </w:tcBorders>
            <w:shd w:val="clear" w:color="auto" w:fill="auto"/>
            <w:vAlign w:val="center"/>
          </w:tcPr>
          <w:p w14:paraId="39233B60">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1、表单引擎：通过简单的拖拽操作，即可搭建出各类数据收集表单。</w:t>
            </w:r>
          </w:p>
          <w:p w14:paraId="3DBD11C5">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2、流程引擎：通过简单的拖拽和连线操作，即可灵活设计业务数据流转规则，实现业务流程线上化，自动化。</w:t>
            </w:r>
          </w:p>
          <w:p w14:paraId="10302DDE">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3、表盘设计，对各应用数据进行自动汇总分析，呈现多维度的数据分析仪表盘，管理报表，管理驾驶舱等。</w:t>
            </w:r>
          </w:p>
          <w:p w14:paraId="293D8CDC">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4、销售管理是ERP系统的重要组成部分，主要包括销售订单管理、客户管理、销售报表分析等功能。</w:t>
            </w:r>
          </w:p>
          <w:p w14:paraId="753B9160">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5、技术管理由方案设计、产品信息、产品BOM、生产工序表单及产品列表看板组成；基础设置模块由产品分类、产品单位与生产班组组成，属于全局基础模块之一。</w:t>
            </w:r>
          </w:p>
          <w:p w14:paraId="18B698E6">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6、生产管理模块由生产工单、生产领料、生产退料、生产报工、生产入库以及生产数据统计等内容构成，组成了生产管理闭环。</w:t>
            </w:r>
          </w:p>
          <w:p w14:paraId="19BB92FD">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7、采购管理主要包括采购订单管理、供应商管理、采购报表分析等功能；采购订单管理模块由采购申请、采购订单、采购入库、采购退货、采购需求和订单统计以及采购执行跟踪看板组成。</w:t>
            </w:r>
          </w:p>
          <w:p w14:paraId="188A0F3C">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仓储管理模块由仓库管理、其他入库单、其他出库单、库存调拨、库存盘点以及产品出入库/调拨、盘点数据分析等内容组成；仓库管理模块由仓库信息、仓位信息与辅助表：库存期初期末（产品-日期） 组成。</w:t>
            </w:r>
          </w:p>
        </w:tc>
        <w:tc>
          <w:tcPr>
            <w:tcW w:w="1556" w:type="dxa"/>
            <w:tcBorders>
              <w:top w:val="single" w:color="auto" w:sz="4" w:space="0"/>
              <w:left w:val="nil"/>
              <w:bottom w:val="single" w:color="auto" w:sz="4" w:space="0"/>
              <w:right w:val="single" w:color="auto" w:sz="4" w:space="0"/>
            </w:tcBorders>
            <w:shd w:val="clear" w:color="auto" w:fill="auto"/>
            <w:vAlign w:val="center"/>
          </w:tcPr>
          <w:p w14:paraId="3A827AB8">
            <w:pPr>
              <w:widowControl/>
              <w:ind w:left="-280" w:leftChars="-100" w:right="-171" w:rightChars="-61"/>
              <w:jc w:val="left"/>
              <w:textAlignment w:val="center"/>
              <w:rPr>
                <w:rFonts w:hint="eastAsia" w:ascii="仿宋_GB2312" w:hAnsi="宋体" w:eastAsia="仿宋_GB2312" w:cs="仿宋_GB2312"/>
                <w:color w:val="000000"/>
                <w:kern w:val="0"/>
                <w:sz w:val="24"/>
                <w:szCs w:val="24"/>
                <w:lang w:val="en-US" w:eastAsia="zh-CN" w:bidi="ar"/>
              </w:rPr>
            </w:pPr>
            <w:r>
              <w:rPr>
                <w:rFonts w:hint="eastAsia" w:ascii="仿宋_GB2312" w:hAnsi="宋体" w:eastAsia="仿宋_GB2312" w:cs="仿宋_GB2312"/>
                <w:color w:val="000000"/>
                <w:kern w:val="0"/>
                <w:sz w:val="24"/>
                <w:szCs w:val="24"/>
                <w:lang w:val="en-US" w:eastAsia="zh-CN" w:bidi="ar"/>
              </w:rPr>
              <w:t>1</w:t>
            </w:r>
          </w:p>
          <w:p w14:paraId="68010125">
            <w:pPr>
              <w:widowControl/>
              <w:jc w:val="left"/>
              <w:textAlignment w:val="center"/>
              <w:rPr>
                <w:rFonts w:hint="default" w:ascii="Calibri" w:hAnsi="Calibri" w:eastAsia="仿宋" w:cs="Calibri"/>
                <w:kern w:val="2"/>
                <w:sz w:val="28"/>
                <w:szCs w:val="21"/>
                <w:lang w:val="en-US" w:eastAsia="zh-CN" w:bidi="ar-SA"/>
              </w:rPr>
            </w:pPr>
            <w:r>
              <w:rPr>
                <w:rFonts w:hint="eastAsia" w:ascii="仿宋_GB2312" w:hAnsi="宋体" w:eastAsia="仿宋_GB2312" w:cs="仿宋_GB2312"/>
                <w:color w:val="000000"/>
                <w:kern w:val="0"/>
                <w:sz w:val="24"/>
                <w:szCs w:val="24"/>
                <w:lang w:val="en-US" w:eastAsia="zh-CN" w:bidi="ar"/>
              </w:rPr>
              <w:t>1万元-100万元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50D957EC">
            <w:pPr>
              <w:widowControl/>
              <w:jc w:val="left"/>
              <w:textAlignment w:val="center"/>
              <w:rPr>
                <w:rFonts w:hint="eastAsia" w:ascii="仿宋_GB2312" w:hAnsi="宋体" w:eastAsia="仿宋_GB2312" w:cs="仿宋_GB2312"/>
                <w:color w:val="000000"/>
                <w:kern w:val="0"/>
                <w:sz w:val="24"/>
                <w:szCs w:val="24"/>
                <w:lang w:bidi="ar"/>
              </w:rPr>
            </w:pPr>
          </w:p>
        </w:tc>
      </w:tr>
      <w:tr w14:paraId="7C94B31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FB05A48">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9277469">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高阶工业光网管理平台</w:t>
            </w:r>
          </w:p>
        </w:tc>
        <w:tc>
          <w:tcPr>
            <w:tcW w:w="2317" w:type="dxa"/>
            <w:tcBorders>
              <w:top w:val="single" w:color="auto" w:sz="4" w:space="0"/>
              <w:left w:val="nil"/>
              <w:bottom w:val="single" w:color="auto" w:sz="4" w:space="0"/>
              <w:right w:val="single" w:color="auto" w:sz="4" w:space="0"/>
            </w:tcBorders>
            <w:shd w:val="clear" w:color="auto" w:fill="auto"/>
            <w:vAlign w:val="center"/>
          </w:tcPr>
          <w:p w14:paraId="7CC4D1E2">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面向企业用户提供全光组网能力+本地化算力+大容量存储能力，支持插件/应用按需部署，满足企业基础组网、本地办公、安全防护、视频AI、DS等多种业务需求。</w:t>
            </w:r>
          </w:p>
        </w:tc>
        <w:tc>
          <w:tcPr>
            <w:tcW w:w="4386" w:type="dxa"/>
            <w:tcBorders>
              <w:top w:val="single" w:color="auto" w:sz="4" w:space="0"/>
              <w:left w:val="nil"/>
              <w:bottom w:val="single" w:color="auto" w:sz="4" w:space="0"/>
              <w:right w:val="single" w:color="auto" w:sz="4" w:space="0"/>
            </w:tcBorders>
            <w:shd w:val="clear" w:color="auto" w:fill="auto"/>
            <w:vAlign w:val="center"/>
          </w:tcPr>
          <w:p w14:paraId="67891864">
            <w:pPr>
              <w:widowControl/>
              <w:jc w:val="left"/>
              <w:textAlignment w:val="center"/>
              <w:rPr>
                <w:rFonts w:hint="eastAsia" w:ascii="仿宋_GB2312" w:hAnsi="宋体" w:eastAsia="仿宋_GB2312" w:cs="仿宋_GB2312"/>
                <w:color w:val="000000"/>
                <w:kern w:val="0"/>
                <w:sz w:val="24"/>
                <w:szCs w:val="24"/>
                <w:highlight w:val="none"/>
                <w:lang w:bidi="ar"/>
              </w:rPr>
            </w:pPr>
            <w:r>
              <w:rPr>
                <w:rFonts w:hint="eastAsia" w:ascii="仿宋_GB2312" w:hAnsi="宋体" w:eastAsia="仿宋_GB2312" w:cs="仿宋_GB2312"/>
                <w:color w:val="000000"/>
                <w:kern w:val="0"/>
                <w:sz w:val="24"/>
                <w:szCs w:val="24"/>
                <w:highlight w:val="none"/>
                <w:lang w:bidi="ar"/>
              </w:rPr>
              <w:t>1、插件类应用</w:t>
            </w:r>
          </w:p>
          <w:p w14:paraId="5AC51A26">
            <w:pPr>
              <w:widowControl/>
              <w:jc w:val="left"/>
              <w:textAlignment w:val="center"/>
              <w:rPr>
                <w:rFonts w:hint="eastAsia" w:ascii="仿宋_GB2312" w:hAnsi="宋体" w:eastAsia="仿宋_GB2312" w:cs="仿宋_GB2312"/>
                <w:color w:val="000000"/>
                <w:kern w:val="0"/>
                <w:sz w:val="24"/>
                <w:szCs w:val="24"/>
                <w:highlight w:val="none"/>
                <w:lang w:bidi="ar"/>
              </w:rPr>
            </w:pPr>
            <w:r>
              <w:rPr>
                <w:rFonts w:hint="eastAsia" w:ascii="仿宋_GB2312" w:hAnsi="宋体" w:eastAsia="仿宋_GB2312" w:cs="仿宋_GB2312"/>
                <w:color w:val="000000"/>
                <w:kern w:val="0"/>
                <w:sz w:val="24"/>
                <w:szCs w:val="24"/>
                <w:highlight w:val="none"/>
                <w:lang w:bidi="ar"/>
              </w:rPr>
              <w:t>提供WiFi认证、上网行为管理、安全猫、网络加速、超级上行、分支互联（SDWAN）能力。</w:t>
            </w:r>
          </w:p>
          <w:p w14:paraId="31B6BBFA">
            <w:pPr>
              <w:widowControl/>
              <w:jc w:val="left"/>
              <w:textAlignment w:val="center"/>
              <w:rPr>
                <w:rFonts w:hint="eastAsia" w:ascii="仿宋_GB2312" w:hAnsi="宋体" w:eastAsia="仿宋_GB2312" w:cs="仿宋_GB2312"/>
                <w:color w:val="000000"/>
                <w:kern w:val="0"/>
                <w:sz w:val="24"/>
                <w:szCs w:val="24"/>
                <w:highlight w:val="none"/>
                <w:lang w:bidi="ar"/>
              </w:rPr>
            </w:pPr>
            <w:r>
              <w:rPr>
                <w:rFonts w:hint="eastAsia" w:ascii="仿宋_GB2312" w:hAnsi="宋体" w:eastAsia="仿宋_GB2312" w:cs="仿宋_GB2312"/>
                <w:color w:val="000000"/>
                <w:kern w:val="0"/>
                <w:sz w:val="24"/>
                <w:szCs w:val="24"/>
                <w:highlight w:val="none"/>
                <w:lang w:bidi="ar"/>
              </w:rPr>
              <w:t>2、容器化应用</w:t>
            </w:r>
          </w:p>
          <w:p w14:paraId="17472FD2">
            <w:pPr>
              <w:widowControl/>
              <w:jc w:val="left"/>
              <w:textAlignment w:val="center"/>
              <w:rPr>
                <w:rFonts w:hint="eastAsia" w:ascii="仿宋_GB2312" w:hAnsi="宋体" w:eastAsia="仿宋_GB2312" w:cs="仿宋_GB2312"/>
                <w:color w:val="000000"/>
                <w:kern w:val="0"/>
                <w:sz w:val="24"/>
                <w:szCs w:val="24"/>
                <w:highlight w:val="none"/>
                <w:lang w:bidi="ar"/>
              </w:rPr>
            </w:pPr>
            <w:r>
              <w:rPr>
                <w:rFonts w:hint="eastAsia" w:ascii="仿宋_GB2312" w:hAnsi="宋体" w:eastAsia="仿宋_GB2312" w:cs="仿宋_GB2312"/>
                <w:color w:val="000000"/>
                <w:kern w:val="0"/>
                <w:sz w:val="24"/>
                <w:szCs w:val="24"/>
                <w:highlight w:val="none"/>
                <w:lang w:bidi="ar"/>
              </w:rPr>
              <w:t>视频监控平台、本地网盘、视频AI算法舱、网络安全防护等能力。</w:t>
            </w:r>
          </w:p>
          <w:p w14:paraId="63B9AF48">
            <w:pPr>
              <w:widowControl/>
              <w:jc w:val="left"/>
              <w:textAlignment w:val="center"/>
              <w:rPr>
                <w:rFonts w:hint="eastAsia" w:ascii="仿宋_GB2312" w:hAnsi="宋体" w:eastAsia="仿宋_GB2312" w:cs="仿宋_GB2312"/>
                <w:color w:val="000000"/>
                <w:kern w:val="0"/>
                <w:sz w:val="24"/>
                <w:szCs w:val="24"/>
                <w:highlight w:val="none"/>
                <w:lang w:bidi="ar"/>
              </w:rPr>
            </w:pPr>
            <w:r>
              <w:rPr>
                <w:rFonts w:hint="eastAsia" w:ascii="仿宋_GB2312" w:hAnsi="宋体" w:eastAsia="仿宋_GB2312" w:cs="仿宋_GB2312"/>
                <w:color w:val="000000"/>
                <w:kern w:val="0"/>
                <w:sz w:val="24"/>
                <w:szCs w:val="24"/>
                <w:highlight w:val="none"/>
                <w:lang w:bidi="ar"/>
              </w:rPr>
              <w:t>3、平台服务</w:t>
            </w:r>
          </w:p>
          <w:p w14:paraId="0127BD7D">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highlight w:val="none"/>
                <w:lang w:bidi="ar"/>
              </w:rPr>
              <w:t>翼企办公、DeepSeek部署、全光工地行业服务。</w:t>
            </w:r>
          </w:p>
        </w:tc>
        <w:tc>
          <w:tcPr>
            <w:tcW w:w="1556" w:type="dxa"/>
            <w:tcBorders>
              <w:top w:val="single" w:color="auto" w:sz="4" w:space="0"/>
              <w:left w:val="nil"/>
              <w:bottom w:val="single" w:color="auto" w:sz="4" w:space="0"/>
              <w:right w:val="single" w:color="auto" w:sz="4" w:space="0"/>
            </w:tcBorders>
            <w:shd w:val="clear" w:color="auto" w:fill="auto"/>
            <w:vAlign w:val="center"/>
          </w:tcPr>
          <w:p w14:paraId="2F1A131C">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1、基础包：750、1500、2500元/月</w:t>
            </w:r>
          </w:p>
          <w:p w14:paraId="73A99AF1">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2、可选包：10-1930元/月</w:t>
            </w:r>
          </w:p>
          <w:p w14:paraId="6576856D">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按实际使用档次或者可选包收费。</w:t>
            </w:r>
          </w:p>
        </w:tc>
        <w:tc>
          <w:tcPr>
            <w:tcW w:w="3841" w:type="dxa"/>
            <w:tcBorders>
              <w:top w:val="single" w:color="auto" w:sz="4" w:space="0"/>
              <w:left w:val="nil"/>
              <w:bottom w:val="single" w:color="auto" w:sz="4" w:space="0"/>
              <w:right w:val="single" w:color="auto" w:sz="4" w:space="0"/>
            </w:tcBorders>
            <w:shd w:val="clear" w:color="auto" w:fill="auto"/>
            <w:vAlign w:val="center"/>
          </w:tcPr>
          <w:p w14:paraId="1BFDAC49">
            <w:pPr>
              <w:widowControl/>
              <w:ind w:firstLine="480" w:firstLineChars="200"/>
              <w:jc w:val="left"/>
              <w:textAlignment w:val="center"/>
              <w:rPr>
                <w:rFonts w:hint="eastAsia" w:ascii="仿宋_GB2312" w:hAnsi="宋体" w:eastAsia="仿宋_GB2312" w:cs="仿宋_GB2312"/>
                <w:color w:val="000000"/>
                <w:kern w:val="0"/>
                <w:sz w:val="24"/>
                <w:szCs w:val="24"/>
                <w:lang w:val="en-US" w:eastAsia="zh-CN" w:bidi="ar"/>
              </w:rPr>
            </w:pPr>
          </w:p>
        </w:tc>
      </w:tr>
      <w:tr w14:paraId="57C36DF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119B8D2">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4CE566E2">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工控主机卫士</w:t>
            </w:r>
          </w:p>
        </w:tc>
        <w:tc>
          <w:tcPr>
            <w:tcW w:w="2317" w:type="dxa"/>
            <w:tcBorders>
              <w:top w:val="single" w:color="auto" w:sz="4" w:space="0"/>
              <w:left w:val="nil"/>
              <w:bottom w:val="single" w:color="auto" w:sz="4" w:space="0"/>
              <w:right w:val="single" w:color="auto" w:sz="4" w:space="0"/>
            </w:tcBorders>
            <w:shd w:val="clear" w:color="auto" w:fill="auto"/>
            <w:vAlign w:val="center"/>
          </w:tcPr>
          <w:p w14:paraId="72C8D5C6">
            <w:pPr>
              <w:widowControl/>
              <w:ind w:right="-95" w:rightChars="-34"/>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具有物联网、数据采集和运维管理的关键能力；为企供了可靠的数字化转型基础数据采集能力、促进了数据要素的流动和应用，加快企业数字化转型。</w:t>
            </w:r>
          </w:p>
        </w:tc>
        <w:tc>
          <w:tcPr>
            <w:tcW w:w="4386" w:type="dxa"/>
            <w:tcBorders>
              <w:top w:val="single" w:color="auto" w:sz="4" w:space="0"/>
              <w:left w:val="nil"/>
              <w:bottom w:val="single" w:color="auto" w:sz="4" w:space="0"/>
              <w:right w:val="single" w:color="auto" w:sz="4" w:space="0"/>
            </w:tcBorders>
            <w:shd w:val="clear" w:color="auto" w:fill="auto"/>
            <w:vAlign w:val="center"/>
          </w:tcPr>
          <w:p w14:paraId="0215E2F7">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平台支持多种通信协议，可灵活接入不同类型的设备；提供实时数据采集、分析和处理的能力，帮助企业挖掘数据价值；支持设备远程控制、监控和运维，降低运维成本，提升运维效率；此外，还支持物模型定义、预警管理、可视化大屏等功能，可广泛应用于离散制造行业，包括但不限于机械加工、注塑加工、纺织、电子制造、汽车零部件和新能源行业。 平台对外开放标准化接口，支持第三方系统通过这些接口对接平台。平台集成了网关管理、物联管理等核心功能，具有快速交付的能力。平台还提供了设备远程控制、OTA固件升级等功能组件。平台具有高扩展性和开放性，可以方便地对接外部系统，如MES、CRM、ERP、OEE等。</w:t>
            </w:r>
          </w:p>
        </w:tc>
        <w:tc>
          <w:tcPr>
            <w:tcW w:w="1556" w:type="dxa"/>
            <w:tcBorders>
              <w:top w:val="single" w:color="auto" w:sz="4" w:space="0"/>
              <w:left w:val="nil"/>
              <w:bottom w:val="single" w:color="auto" w:sz="4" w:space="0"/>
              <w:right w:val="single" w:color="auto" w:sz="4" w:space="0"/>
            </w:tcBorders>
            <w:shd w:val="clear" w:color="auto" w:fill="auto"/>
            <w:vAlign w:val="center"/>
          </w:tcPr>
          <w:p w14:paraId="0DD5D493">
            <w:pPr>
              <w:widowControl/>
              <w:ind w:right="-171" w:rightChars="-61"/>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10万元-100万元</w:t>
            </w:r>
          </w:p>
        </w:tc>
        <w:tc>
          <w:tcPr>
            <w:tcW w:w="3841" w:type="dxa"/>
            <w:tcBorders>
              <w:top w:val="single" w:color="auto" w:sz="4" w:space="0"/>
              <w:left w:val="nil"/>
              <w:bottom w:val="single" w:color="auto" w:sz="4" w:space="0"/>
              <w:right w:val="single" w:color="auto" w:sz="4" w:space="0"/>
            </w:tcBorders>
            <w:shd w:val="clear" w:color="auto" w:fill="auto"/>
            <w:vAlign w:val="center"/>
          </w:tcPr>
          <w:p w14:paraId="6898262E">
            <w:pPr>
              <w:widowControl/>
              <w:jc w:val="left"/>
              <w:textAlignment w:val="center"/>
              <w:rPr>
                <w:rFonts w:hint="eastAsia" w:ascii="仿宋_GB2312" w:hAnsi="宋体" w:eastAsia="仿宋_GB2312" w:cs="仿宋_GB2312"/>
                <w:color w:val="000000"/>
                <w:kern w:val="0"/>
                <w:sz w:val="24"/>
                <w:szCs w:val="24"/>
                <w:lang w:bidi="ar"/>
              </w:rPr>
            </w:pPr>
          </w:p>
        </w:tc>
      </w:tr>
    </w:tbl>
    <w:p w14:paraId="2A4D1993">
      <w:pPr>
        <w:spacing w:line="560" w:lineRule="exact"/>
        <w:rPr>
          <w:rFonts w:hint="eastAsia" w:ascii="仿宋_GB2312" w:hAnsi="仿宋_GB2312" w:eastAsia="仿宋_GB2312" w:cs="仿宋_GB2312"/>
          <w:bCs/>
          <w:sz w:val="32"/>
          <w:szCs w:val="32"/>
        </w:rPr>
      </w:pPr>
    </w:p>
    <w:p w14:paraId="30209F06">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四</w:t>
      </w:r>
      <w:r>
        <w:rPr>
          <w:rFonts w:hint="eastAsia" w:ascii="仿宋_GB2312" w:hAnsi="仿宋_GB2312" w:eastAsia="仿宋_GB2312" w:cs="仿宋_GB2312"/>
          <w:bCs/>
          <w:sz w:val="32"/>
          <w:szCs w:val="32"/>
        </w:rPr>
        <w:t>）联合体成员：用友网络科技股份有限公司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35"/>
      </w:tblGrid>
      <w:tr w14:paraId="4A922B0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636C50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FF026C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0B8B24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2DE993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22910F7E">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35" w:type="dxa"/>
            <w:tcBorders>
              <w:top w:val="single" w:color="auto" w:sz="4" w:space="0"/>
              <w:left w:val="nil"/>
              <w:bottom w:val="single" w:color="auto" w:sz="4" w:space="0"/>
              <w:right w:val="single" w:color="auto" w:sz="4" w:space="0"/>
            </w:tcBorders>
            <w:shd w:val="clear" w:color="auto" w:fill="auto"/>
            <w:vAlign w:val="center"/>
          </w:tcPr>
          <w:p w14:paraId="4E20803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1419105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CCEFBC8">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1EAD8D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YonBIP</w:t>
            </w:r>
          </w:p>
        </w:tc>
        <w:tc>
          <w:tcPr>
            <w:tcW w:w="2318" w:type="dxa"/>
            <w:tcBorders>
              <w:top w:val="single" w:color="auto" w:sz="4" w:space="0"/>
              <w:left w:val="nil"/>
              <w:bottom w:val="single" w:color="auto" w:sz="4" w:space="0"/>
              <w:right w:val="single" w:color="auto" w:sz="4" w:space="0"/>
            </w:tcBorders>
            <w:shd w:val="clear" w:color="auto" w:fill="auto"/>
            <w:vAlign w:val="center"/>
          </w:tcPr>
          <w:p w14:paraId="67510C8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YonBIP基于最新的大数据、人工智能、云计算、物联网 &amp;5G、移动互联网、区块链等数智技术，采用云原生(微服务)、元数据驱动、中台化、数用分离等新一代技术架构，构建技术平台、数据中台、智能中台和业务中台，并聚焦营销、采购、制造、供应链、金融、财务、人力、协同等八大核心领域，全面支撑企业运营管理与产业价值链协同，赋能企业商业创新，推动社会商业进步。</w:t>
            </w:r>
          </w:p>
        </w:tc>
        <w:tc>
          <w:tcPr>
            <w:tcW w:w="4387" w:type="dxa"/>
            <w:tcBorders>
              <w:top w:val="single" w:color="auto" w:sz="4" w:space="0"/>
              <w:left w:val="nil"/>
              <w:bottom w:val="single" w:color="auto" w:sz="4" w:space="0"/>
              <w:right w:val="single" w:color="auto" w:sz="4" w:space="0"/>
            </w:tcBorders>
            <w:shd w:val="clear" w:color="auto" w:fill="auto"/>
            <w:vAlign w:val="center"/>
          </w:tcPr>
          <w:p w14:paraId="6BC9B35B">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用友YonBIP提供财务管理、供应链管理、生产制造、人力资源、CRM、项目管理、数据分析及协同办公等功能，支持企业数字化转型。</w:t>
            </w:r>
          </w:p>
        </w:tc>
        <w:tc>
          <w:tcPr>
            <w:tcW w:w="1551" w:type="dxa"/>
            <w:tcBorders>
              <w:top w:val="single" w:color="auto" w:sz="4" w:space="0"/>
              <w:left w:val="nil"/>
              <w:bottom w:val="single" w:color="auto" w:sz="4" w:space="0"/>
              <w:right w:val="single" w:color="auto" w:sz="4" w:space="0"/>
            </w:tcBorders>
            <w:shd w:val="clear" w:color="auto" w:fill="auto"/>
            <w:vAlign w:val="center"/>
          </w:tcPr>
          <w:p w14:paraId="170C4701">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50万元-600万元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5D93EDE7">
            <w:pPr>
              <w:jc w:val="center"/>
              <w:rPr>
                <w:rFonts w:hint="eastAsia" w:ascii="仿宋_GB2312" w:hAnsi="仿宋_GB2312" w:eastAsia="仿宋_GB2312" w:cs="仿宋_GB2312"/>
                <w:kern w:val="0"/>
                <w:sz w:val="24"/>
                <w:szCs w:val="24"/>
              </w:rPr>
            </w:pPr>
          </w:p>
        </w:tc>
      </w:tr>
    </w:tbl>
    <w:p w14:paraId="5357245A">
      <w:pPr>
        <w:rPr>
          <w:rFonts w:hint="eastAsia" w:ascii="仿宋_GB2312" w:hAnsi="仿宋_GB2312" w:eastAsia="仿宋_GB2312" w:cs="仿宋_GB2312"/>
          <w:bCs/>
          <w:sz w:val="32"/>
          <w:szCs w:val="32"/>
        </w:rPr>
      </w:pPr>
    </w:p>
    <w:p w14:paraId="7CC788FF">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五</w:t>
      </w:r>
      <w:r>
        <w:rPr>
          <w:rFonts w:hint="eastAsia" w:ascii="仿宋_GB2312" w:hAnsi="仿宋_GB2312" w:eastAsia="仿宋_GB2312" w:cs="仿宋_GB2312"/>
          <w:bCs/>
          <w:sz w:val="32"/>
          <w:szCs w:val="32"/>
        </w:rPr>
        <w:t>）联合体成员：成都朗速科技有限公司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798"/>
      </w:tblGrid>
      <w:tr w14:paraId="558F6E9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790D74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1196ED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16B655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7F5DC84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16ECC994">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798" w:type="dxa"/>
            <w:tcBorders>
              <w:top w:val="single" w:color="auto" w:sz="4" w:space="0"/>
              <w:left w:val="nil"/>
              <w:bottom w:val="single" w:color="auto" w:sz="4" w:space="0"/>
              <w:right w:val="single" w:color="auto" w:sz="4" w:space="0"/>
            </w:tcBorders>
            <w:shd w:val="clear" w:color="auto" w:fill="auto"/>
            <w:vAlign w:val="center"/>
          </w:tcPr>
          <w:p w14:paraId="23469CA9">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31E4E3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47389B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B3E8FE0">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朗速 ERP 智能平台 V7.0</w:t>
            </w:r>
          </w:p>
        </w:tc>
        <w:tc>
          <w:tcPr>
            <w:tcW w:w="2318" w:type="dxa"/>
            <w:tcBorders>
              <w:top w:val="single" w:color="auto" w:sz="4" w:space="0"/>
              <w:left w:val="nil"/>
              <w:bottom w:val="single" w:color="auto" w:sz="4" w:space="0"/>
              <w:right w:val="single" w:color="auto" w:sz="4" w:space="0"/>
            </w:tcBorders>
            <w:shd w:val="clear" w:color="auto" w:fill="auto"/>
            <w:vAlign w:val="center"/>
          </w:tcPr>
          <w:p w14:paraId="5C59584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通过朗速ERP智能平台 V7.0，可实现设计开发管理、销售管理、物料需求管理、来料管理、委外管理、采购管理、条码管理、仓库管理、生产管理、生产成本分析、账务管理、固定资产管理、品质管理等应用场景，掌握企业经营真实数据实现业务全面掌控，确保进度可视、计划不乱，采购及时、库存合理、生产透明、质量合格、保障交期。</w:t>
            </w:r>
          </w:p>
        </w:tc>
        <w:tc>
          <w:tcPr>
            <w:tcW w:w="4387" w:type="dxa"/>
            <w:tcBorders>
              <w:top w:val="single" w:color="auto" w:sz="4" w:space="0"/>
              <w:left w:val="nil"/>
              <w:bottom w:val="single" w:color="auto" w:sz="4" w:space="0"/>
              <w:right w:val="single" w:color="auto" w:sz="4" w:space="0"/>
            </w:tcBorders>
            <w:shd w:val="clear" w:color="auto" w:fill="auto"/>
            <w:vAlign w:val="center"/>
          </w:tcPr>
          <w:p w14:paraId="32A321B0">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集合客户关系管理、销售管理、采购管理、仓库管理、账务管理软件等多个模块，融为一体。主要解决企业一家公司，多套系统，行成信息孤岛，工人重复录入数据，部门之间信息不互通。</w:t>
            </w:r>
          </w:p>
        </w:tc>
        <w:tc>
          <w:tcPr>
            <w:tcW w:w="1551" w:type="dxa"/>
            <w:tcBorders>
              <w:top w:val="single" w:color="auto" w:sz="4" w:space="0"/>
              <w:left w:val="nil"/>
              <w:bottom w:val="single" w:color="auto" w:sz="4" w:space="0"/>
              <w:right w:val="single" w:color="auto" w:sz="4" w:space="0"/>
            </w:tcBorders>
            <w:shd w:val="clear" w:color="auto" w:fill="auto"/>
            <w:vAlign w:val="center"/>
          </w:tcPr>
          <w:p w14:paraId="5BC2FA74">
            <w:pPr>
              <w:widowControl/>
              <w:jc w:val="center"/>
              <w:textAlignment w:val="center"/>
              <w:rPr>
                <w:rFonts w:hint="eastAsia" w:ascii="仿宋_GB2312" w:hAnsi="仿宋_GB2312" w:eastAsia="仿宋_GB2312" w:cs="仿宋_GB2312"/>
                <w:kern w:val="0"/>
                <w:sz w:val="24"/>
                <w:szCs w:val="24"/>
                <w:highlight w:val="yellow"/>
              </w:rPr>
            </w:pPr>
            <w:r>
              <w:rPr>
                <w:rFonts w:hint="eastAsia" w:ascii="仿宋_GB2312" w:hAnsi="宋体" w:eastAsia="仿宋_GB2312" w:cs="仿宋_GB2312"/>
                <w:color w:val="000000"/>
                <w:kern w:val="0"/>
                <w:sz w:val="24"/>
                <w:szCs w:val="24"/>
                <w:highlight w:val="none"/>
                <w:lang w:bidi="ar"/>
              </w:rPr>
              <w:t>50万元</w:t>
            </w:r>
            <w:r>
              <w:rPr>
                <w:rFonts w:hint="eastAsia" w:ascii="仿宋_GB2312" w:hAnsi="宋体" w:eastAsia="仿宋_GB2312" w:cs="仿宋_GB2312"/>
                <w:color w:val="000000"/>
                <w:kern w:val="0"/>
                <w:sz w:val="24"/>
                <w:szCs w:val="24"/>
                <w:highlight w:val="none"/>
                <w:lang w:val="en-US" w:eastAsia="zh-CN" w:bidi="ar"/>
              </w:rPr>
              <w:t>-</w:t>
            </w:r>
            <w:r>
              <w:rPr>
                <w:rFonts w:hint="eastAsia" w:ascii="仿宋_GB2312" w:hAnsi="宋体" w:eastAsia="仿宋_GB2312" w:cs="仿宋_GB2312"/>
                <w:color w:val="000000"/>
                <w:kern w:val="0"/>
                <w:sz w:val="24"/>
                <w:szCs w:val="24"/>
                <w:highlight w:val="none"/>
                <w:lang w:bidi="ar"/>
              </w:rPr>
              <w:t>200万元</w:t>
            </w:r>
          </w:p>
        </w:tc>
        <w:tc>
          <w:tcPr>
            <w:tcW w:w="3798" w:type="dxa"/>
            <w:tcBorders>
              <w:top w:val="single" w:color="auto" w:sz="4" w:space="0"/>
              <w:left w:val="nil"/>
              <w:bottom w:val="single" w:color="auto" w:sz="4" w:space="0"/>
              <w:right w:val="single" w:color="auto" w:sz="4" w:space="0"/>
            </w:tcBorders>
            <w:shd w:val="clear" w:color="auto" w:fill="auto"/>
            <w:vAlign w:val="center"/>
          </w:tcPr>
          <w:p w14:paraId="2112B86C">
            <w:pPr>
              <w:jc w:val="center"/>
              <w:rPr>
                <w:rFonts w:hint="default" w:ascii="仿宋_GB2312" w:hAnsi="仿宋_GB2312" w:eastAsia="仿宋_GB2312" w:cs="仿宋_GB2312"/>
                <w:kern w:val="0"/>
                <w:sz w:val="24"/>
                <w:szCs w:val="24"/>
                <w:lang w:val="en-US" w:eastAsia="zh-CN"/>
              </w:rPr>
            </w:pPr>
          </w:p>
        </w:tc>
      </w:tr>
    </w:tbl>
    <w:p w14:paraId="37724A89">
      <w:pPr>
        <w:rPr>
          <w:rFonts w:hint="eastAsia" w:ascii="仿宋_GB2312" w:hAnsi="仿宋_GB2312" w:eastAsia="仿宋_GB2312" w:cs="仿宋_GB2312"/>
          <w:bCs/>
          <w:sz w:val="32"/>
          <w:szCs w:val="32"/>
        </w:rPr>
      </w:pPr>
    </w:p>
    <w:p w14:paraId="7A5DC9DB">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六</w:t>
      </w:r>
      <w:r>
        <w:rPr>
          <w:rFonts w:hint="eastAsia" w:ascii="仿宋_GB2312" w:hAnsi="仿宋_GB2312" w:eastAsia="仿宋_GB2312" w:cs="仿宋_GB2312"/>
          <w:bCs/>
          <w:sz w:val="32"/>
          <w:szCs w:val="32"/>
        </w:rPr>
        <w:t>）联合体成员：佛山市杜特软件科技有限公司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26"/>
      </w:tblGrid>
      <w:tr w14:paraId="6560856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C3E722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2C194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5795E8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7AF8DE9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400602F6">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26" w:type="dxa"/>
            <w:tcBorders>
              <w:top w:val="single" w:color="auto" w:sz="4" w:space="0"/>
              <w:left w:val="nil"/>
              <w:bottom w:val="single" w:color="auto" w:sz="4" w:space="0"/>
              <w:right w:val="single" w:color="auto" w:sz="4" w:space="0"/>
            </w:tcBorders>
            <w:shd w:val="clear" w:color="auto" w:fill="auto"/>
            <w:vAlign w:val="center"/>
          </w:tcPr>
          <w:p w14:paraId="7398169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6AFC1D8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313DD4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E26E88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杜特M3-ERP企业管理软件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3797A180">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经营管理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7C075150">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1）通过公式BOM单的数据，系统自动算料，减低人工算料的出错率；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（2）通过安全库存预警、动态安全库存、物料排查、MRP等功能帮助MC监控库存的情况，按需按时备料；</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（3）MPS主计划协助PC自动计算各个节点的建议开始时间，让排期稳定可靠；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（4）应收应付功能等财务功能，提供客户往来对账单等查询分析，明晰客户或者供应商的账款；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（5）成本归集模块将每款产品的成本进行统计，汇总产品的盈亏情况，提供指导性的方向。</w:t>
            </w:r>
          </w:p>
        </w:tc>
        <w:tc>
          <w:tcPr>
            <w:tcW w:w="1551" w:type="dxa"/>
            <w:tcBorders>
              <w:top w:val="single" w:color="auto" w:sz="4" w:space="0"/>
              <w:left w:val="nil"/>
              <w:bottom w:val="single" w:color="auto" w:sz="4" w:space="0"/>
              <w:right w:val="single" w:color="auto" w:sz="4" w:space="0"/>
            </w:tcBorders>
            <w:shd w:val="clear" w:color="auto" w:fill="auto"/>
            <w:vAlign w:val="center"/>
          </w:tcPr>
          <w:p w14:paraId="6F7F6256">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按项目模块收费，每个模块0.2万元-5万元/年</w:t>
            </w:r>
          </w:p>
        </w:tc>
        <w:tc>
          <w:tcPr>
            <w:tcW w:w="3826" w:type="dxa"/>
            <w:tcBorders>
              <w:top w:val="single" w:color="auto" w:sz="4" w:space="0"/>
              <w:left w:val="nil"/>
              <w:bottom w:val="single" w:color="auto" w:sz="4" w:space="0"/>
              <w:right w:val="single" w:color="auto" w:sz="4" w:space="0"/>
            </w:tcBorders>
            <w:shd w:val="clear" w:color="auto" w:fill="auto"/>
            <w:vAlign w:val="center"/>
          </w:tcPr>
          <w:p w14:paraId="2E6568FE">
            <w:pPr>
              <w:jc w:val="center"/>
              <w:rPr>
                <w:rFonts w:hint="eastAsia" w:ascii="仿宋_GB2312" w:hAnsi="仿宋_GB2312" w:eastAsia="仿宋_GB2312" w:cs="仿宋_GB2312"/>
                <w:kern w:val="0"/>
                <w:sz w:val="24"/>
                <w:szCs w:val="24"/>
              </w:rPr>
            </w:pPr>
          </w:p>
        </w:tc>
      </w:tr>
      <w:tr w14:paraId="222D5C9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0370C0F">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362A60F">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杜特M3-MES系统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28D584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生产制造类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35846596">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（1）通过物料排查功能，减少呆滞库存并且能及时指导采购；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（2）齐套分析功能避免在生产过程中缺料导致生产中断；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（3）设备对接功能能将加工数据自动同步到加工设备，大大提高生产效率；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（4）车间看板功能能让老板以及管理层实时监控生产进度以及了解企业的各种数据分析</w:t>
            </w:r>
          </w:p>
        </w:tc>
        <w:tc>
          <w:tcPr>
            <w:tcW w:w="1551" w:type="dxa"/>
            <w:tcBorders>
              <w:top w:val="single" w:color="auto" w:sz="4" w:space="0"/>
              <w:left w:val="nil"/>
              <w:bottom w:val="single" w:color="auto" w:sz="4" w:space="0"/>
              <w:right w:val="single" w:color="auto" w:sz="4" w:space="0"/>
            </w:tcBorders>
            <w:shd w:val="clear" w:color="auto" w:fill="auto"/>
            <w:vAlign w:val="center"/>
          </w:tcPr>
          <w:p w14:paraId="2D5E7FFD">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按模块收费，每个模块0.1万元-5万元</w:t>
            </w:r>
          </w:p>
        </w:tc>
        <w:tc>
          <w:tcPr>
            <w:tcW w:w="3826" w:type="dxa"/>
            <w:tcBorders>
              <w:top w:val="single" w:color="auto" w:sz="4" w:space="0"/>
              <w:left w:val="nil"/>
              <w:bottom w:val="single" w:color="auto" w:sz="4" w:space="0"/>
              <w:right w:val="single" w:color="auto" w:sz="4" w:space="0"/>
            </w:tcBorders>
            <w:shd w:val="clear" w:color="auto" w:fill="auto"/>
            <w:vAlign w:val="center"/>
          </w:tcPr>
          <w:p w14:paraId="1398C687">
            <w:pPr>
              <w:jc w:val="center"/>
              <w:rPr>
                <w:rFonts w:hint="eastAsia" w:ascii="仿宋_GB2312" w:hAnsi="仿宋_GB2312" w:eastAsia="仿宋_GB2312" w:cs="仿宋_GB2312"/>
                <w:kern w:val="0"/>
                <w:sz w:val="24"/>
                <w:szCs w:val="24"/>
              </w:rPr>
            </w:pPr>
          </w:p>
        </w:tc>
      </w:tr>
      <w:tr w14:paraId="5F8E3ED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A7F888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F372E3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杜特预见家系列设计软件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76777D98">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kern w:val="0"/>
                <w:sz w:val="24"/>
                <w:szCs w:val="24"/>
                <w:lang w:bidi="ar"/>
              </w:rPr>
              <w:t>研发设计类</w:t>
            </w:r>
          </w:p>
        </w:tc>
        <w:tc>
          <w:tcPr>
            <w:tcW w:w="4387" w:type="dxa"/>
            <w:tcBorders>
              <w:top w:val="single" w:color="auto" w:sz="4" w:space="0"/>
              <w:left w:val="nil"/>
              <w:bottom w:val="single" w:color="auto" w:sz="4" w:space="0"/>
              <w:right w:val="single" w:color="auto" w:sz="4" w:space="0"/>
            </w:tcBorders>
            <w:shd w:val="clear" w:color="auto" w:fill="auto"/>
            <w:vAlign w:val="center"/>
          </w:tcPr>
          <w:p w14:paraId="0F3AF2A9">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 w:hAnsi="仿宋" w:eastAsia="仿宋" w:cs="仿宋"/>
                <w:i w:val="0"/>
                <w:iCs w:val="0"/>
                <w:color w:val="000000"/>
                <w:kern w:val="0"/>
                <w:sz w:val="24"/>
                <w:szCs w:val="24"/>
                <w:u w:val="none"/>
                <w:lang w:val="en-US" w:eastAsia="zh-CN" w:bidi="ar"/>
              </w:rPr>
              <w:t>1）系统自带门窗设计所需模块，即点即用，无需CAD基础也可以快速设计；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2）自动计算门窗面积，根据系统自带的计算逻辑计算价格；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3）一键布局室内软装硬装，一键提交渲染室内效果图；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4）绘制房屋平面图，一键生产各种房屋和阳光房3D模型，搭配系统自带的模型、素材修改参数即可设计完成；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5）自带渲染模式，系统自带灯光和材质贴图，一键提交即可完成渲染</w:t>
            </w:r>
          </w:p>
        </w:tc>
        <w:tc>
          <w:tcPr>
            <w:tcW w:w="1551" w:type="dxa"/>
            <w:tcBorders>
              <w:top w:val="single" w:color="auto" w:sz="4" w:space="0"/>
              <w:left w:val="nil"/>
              <w:bottom w:val="single" w:color="auto" w:sz="4" w:space="0"/>
              <w:right w:val="single" w:color="auto" w:sz="4" w:space="0"/>
            </w:tcBorders>
            <w:shd w:val="clear" w:color="auto" w:fill="auto"/>
            <w:vAlign w:val="center"/>
          </w:tcPr>
          <w:p w14:paraId="4AC024AD">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按模块收费，每个模块0.06万元-0.38万元</w:t>
            </w:r>
          </w:p>
        </w:tc>
        <w:tc>
          <w:tcPr>
            <w:tcW w:w="3826" w:type="dxa"/>
            <w:tcBorders>
              <w:top w:val="single" w:color="auto" w:sz="4" w:space="0"/>
              <w:left w:val="nil"/>
              <w:bottom w:val="single" w:color="auto" w:sz="4" w:space="0"/>
              <w:right w:val="single" w:color="auto" w:sz="4" w:space="0"/>
            </w:tcBorders>
            <w:shd w:val="clear" w:color="auto" w:fill="auto"/>
            <w:vAlign w:val="center"/>
          </w:tcPr>
          <w:p w14:paraId="3831DBF4">
            <w:pPr>
              <w:jc w:val="center"/>
              <w:rPr>
                <w:rFonts w:hint="eastAsia" w:ascii="仿宋_GB2312" w:hAnsi="仿宋_GB2312" w:eastAsia="仿宋_GB2312" w:cs="仿宋_GB2312"/>
                <w:kern w:val="0"/>
                <w:sz w:val="24"/>
                <w:szCs w:val="24"/>
              </w:rPr>
            </w:pPr>
          </w:p>
        </w:tc>
      </w:tr>
    </w:tbl>
    <w:p w14:paraId="5179AF18">
      <w:pPr>
        <w:rPr>
          <w:rFonts w:hint="eastAsia" w:ascii="仿宋_GB2312" w:hAnsi="仿宋_GB2312" w:eastAsia="仿宋_GB2312" w:cs="仿宋_GB2312"/>
          <w:bCs/>
          <w:sz w:val="32"/>
          <w:szCs w:val="32"/>
        </w:rPr>
      </w:pPr>
    </w:p>
    <w:p w14:paraId="12A97098">
      <w:pPr>
        <w:rPr>
          <w:rFonts w:hint="eastAsia" w:ascii="仿宋_GB2312" w:hAnsi="仿宋_GB2312" w:eastAsia="仿宋_GB2312" w:cs="仿宋_GB2312"/>
          <w:bCs/>
          <w:sz w:val="32"/>
          <w:szCs w:val="32"/>
        </w:rPr>
      </w:pPr>
    </w:p>
    <w:p w14:paraId="307776E7">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七</w:t>
      </w:r>
      <w:r>
        <w:rPr>
          <w:rFonts w:hint="eastAsia" w:ascii="仿宋_GB2312" w:hAnsi="仿宋_GB2312" w:eastAsia="仿宋_GB2312" w:cs="仿宋_GB2312"/>
          <w:bCs/>
          <w:sz w:val="32"/>
          <w:szCs w:val="32"/>
        </w:rPr>
        <w:t>）联合体成员：佛山市浩泰科技有限公司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35"/>
      </w:tblGrid>
      <w:tr w14:paraId="023B0958">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154D4A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1D7ECCB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6FC8EA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438B0BA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0F9D42F1">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35" w:type="dxa"/>
            <w:tcBorders>
              <w:top w:val="single" w:color="auto" w:sz="4" w:space="0"/>
              <w:left w:val="nil"/>
              <w:bottom w:val="single" w:color="auto" w:sz="4" w:space="0"/>
              <w:right w:val="single" w:color="auto" w:sz="4" w:space="0"/>
            </w:tcBorders>
            <w:shd w:val="clear" w:color="auto" w:fill="auto"/>
            <w:vAlign w:val="center"/>
          </w:tcPr>
          <w:p w14:paraId="2DE3A01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52167731">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FA53AFA">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CF13690">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浩泰铝业专家MES管理软件V20.0</w:t>
            </w:r>
          </w:p>
        </w:tc>
        <w:tc>
          <w:tcPr>
            <w:tcW w:w="2318" w:type="dxa"/>
            <w:tcBorders>
              <w:top w:val="single" w:color="auto" w:sz="4" w:space="0"/>
              <w:left w:val="nil"/>
              <w:bottom w:val="single" w:color="auto" w:sz="4" w:space="0"/>
              <w:right w:val="single" w:color="auto" w:sz="4" w:space="0"/>
            </w:tcBorders>
            <w:shd w:val="clear" w:color="auto" w:fill="auto"/>
            <w:vAlign w:val="center"/>
          </w:tcPr>
          <w:p w14:paraId="0E5662C3">
            <w:pPr>
              <w:widowControl/>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“智能排产”通过分析货期，根据交货时间进行排产，帮助企业实现准时交单、减少库存积压，同时均衡产能，稳定企业成本。</w:t>
            </w:r>
          </w:p>
        </w:tc>
        <w:tc>
          <w:tcPr>
            <w:tcW w:w="4387" w:type="dxa"/>
            <w:tcBorders>
              <w:top w:val="single" w:color="auto" w:sz="4" w:space="0"/>
              <w:left w:val="nil"/>
              <w:bottom w:val="single" w:color="auto" w:sz="4" w:space="0"/>
              <w:right w:val="single" w:color="auto" w:sz="4" w:space="0"/>
            </w:tcBorders>
            <w:shd w:val="clear" w:color="auto" w:fill="auto"/>
            <w:vAlign w:val="center"/>
          </w:tcPr>
          <w:p w14:paraId="00FE4C7E">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1．对于许多铝型材企业来说，订单小且产品种类繁多是一大挑战，这会导致生产过程变得极其复杂，极易出现模具重复上机的情况，从而增加生产成本，且效率低下；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2．铝材企业的基层员工学历较低，缺乏正规培训，凭经验作业，导致品质事故频发；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生产工序多导致生产流程不透明、车间部门之间协同性差导致无法准时交货，且生产效率低下；</w:t>
            </w:r>
          </w:p>
        </w:tc>
        <w:tc>
          <w:tcPr>
            <w:tcW w:w="1551" w:type="dxa"/>
            <w:tcBorders>
              <w:top w:val="single" w:color="auto" w:sz="4" w:space="0"/>
              <w:left w:val="nil"/>
              <w:bottom w:val="single" w:color="auto" w:sz="4" w:space="0"/>
              <w:right w:val="single" w:color="auto" w:sz="4" w:space="0"/>
            </w:tcBorders>
            <w:shd w:val="clear" w:color="auto" w:fill="auto"/>
            <w:vAlign w:val="center"/>
          </w:tcPr>
          <w:p w14:paraId="3BCDFABA">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10万元-150万元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1B27BDC9">
            <w:pPr>
              <w:jc w:val="center"/>
              <w:rPr>
                <w:rFonts w:hint="eastAsia" w:ascii="仿宋_GB2312" w:hAnsi="仿宋_GB2312" w:eastAsia="仿宋_GB2312" w:cs="仿宋_GB2312"/>
                <w:kern w:val="0"/>
                <w:sz w:val="24"/>
                <w:szCs w:val="24"/>
              </w:rPr>
            </w:pPr>
          </w:p>
        </w:tc>
      </w:tr>
      <w:tr w14:paraId="77B8622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8EF4736">
            <w:pPr>
              <w:widowControl/>
              <w:jc w:val="center"/>
              <w:textAlignment w:val="center"/>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82D3A5F">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浩泰铝业专家WMS管理软件V20.0</w:t>
            </w:r>
          </w:p>
        </w:tc>
        <w:tc>
          <w:tcPr>
            <w:tcW w:w="2318" w:type="dxa"/>
            <w:tcBorders>
              <w:top w:val="single" w:color="auto" w:sz="4" w:space="0"/>
              <w:left w:val="nil"/>
              <w:bottom w:val="single" w:color="auto" w:sz="4" w:space="0"/>
              <w:right w:val="single" w:color="auto" w:sz="4" w:space="0"/>
            </w:tcBorders>
            <w:shd w:val="clear" w:color="auto" w:fill="auto"/>
            <w:vAlign w:val="center"/>
          </w:tcPr>
          <w:p w14:paraId="3072F82C">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实现指导工人作业的秩序，明确告知工人型材应该存取的位置，无需满仓库找货</w:t>
            </w:r>
          </w:p>
        </w:tc>
        <w:tc>
          <w:tcPr>
            <w:tcW w:w="4387" w:type="dxa"/>
            <w:tcBorders>
              <w:top w:val="single" w:color="auto" w:sz="4" w:space="0"/>
              <w:left w:val="nil"/>
              <w:bottom w:val="single" w:color="auto" w:sz="4" w:space="0"/>
              <w:right w:val="single" w:color="auto" w:sz="4" w:space="0"/>
            </w:tcBorders>
            <w:shd w:val="clear" w:color="auto" w:fill="auto"/>
            <w:vAlign w:val="center"/>
          </w:tcPr>
          <w:p w14:paraId="00FBD288">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铝材厂的仓库面积庞大，客户数量众多，且产品种类繁多、体积大且重量重。因此，在出入库时，搬运和吊装作业非常耗时且耗费人力。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51BAB9D6">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10万元-100万元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736BD78E">
            <w:pPr>
              <w:jc w:val="center"/>
              <w:rPr>
                <w:rFonts w:hint="eastAsia" w:ascii="仿宋_GB2312" w:hAnsi="仿宋_GB2312" w:eastAsia="仿宋_GB2312" w:cs="仿宋_GB2312"/>
                <w:kern w:val="0"/>
                <w:sz w:val="24"/>
                <w:szCs w:val="24"/>
              </w:rPr>
            </w:pPr>
          </w:p>
        </w:tc>
      </w:tr>
    </w:tbl>
    <w:p w14:paraId="21CAC916">
      <w:pPr>
        <w:rPr>
          <w:rFonts w:hint="eastAsia" w:ascii="仿宋_GB2312" w:hAnsi="仿宋_GB2312" w:eastAsia="仿宋_GB2312" w:cs="仿宋_GB2312"/>
          <w:bCs/>
          <w:sz w:val="32"/>
          <w:szCs w:val="32"/>
        </w:rPr>
      </w:pPr>
    </w:p>
    <w:p w14:paraId="25328B46">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八</w:t>
      </w:r>
      <w:r>
        <w:rPr>
          <w:rFonts w:hint="eastAsia" w:ascii="仿宋_GB2312" w:hAnsi="仿宋_GB2312" w:eastAsia="仿宋_GB2312" w:cs="仿宋_GB2312"/>
          <w:bCs/>
          <w:sz w:val="32"/>
          <w:szCs w:val="32"/>
        </w:rPr>
        <w:t>）联合体成员：佛山市红云科技有限公司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98"/>
      </w:tblGrid>
      <w:tr w14:paraId="3018594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8D818C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75637F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131011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2841BD1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140F1A53">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98" w:type="dxa"/>
            <w:tcBorders>
              <w:top w:val="single" w:color="auto" w:sz="4" w:space="0"/>
              <w:left w:val="nil"/>
              <w:bottom w:val="single" w:color="auto" w:sz="4" w:space="0"/>
              <w:right w:val="single" w:color="auto" w:sz="4" w:space="0"/>
            </w:tcBorders>
            <w:shd w:val="clear" w:color="auto" w:fill="auto"/>
            <w:vAlign w:val="center"/>
          </w:tcPr>
          <w:p w14:paraId="5FCD694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3E81A46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C16F50F">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2C2CE00">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红云数据中台系统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2E406BFF">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数据应用分析、数据治理、数据集成、数据共享等</w:t>
            </w:r>
          </w:p>
        </w:tc>
        <w:tc>
          <w:tcPr>
            <w:tcW w:w="4387" w:type="dxa"/>
            <w:tcBorders>
              <w:top w:val="single" w:color="auto" w:sz="4" w:space="0"/>
              <w:left w:val="nil"/>
              <w:bottom w:val="single" w:color="auto" w:sz="4" w:space="0"/>
              <w:right w:val="single" w:color="auto" w:sz="4" w:space="0"/>
            </w:tcBorders>
            <w:shd w:val="clear" w:color="auto" w:fill="auto"/>
            <w:vAlign w:val="center"/>
          </w:tcPr>
          <w:p w14:paraId="3071437F">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数据融合平台，构建企业数据中台，在数据层面打通企业各系统</w:t>
            </w:r>
          </w:p>
        </w:tc>
        <w:tc>
          <w:tcPr>
            <w:tcW w:w="1551" w:type="dxa"/>
            <w:tcBorders>
              <w:top w:val="single" w:color="auto" w:sz="4" w:space="0"/>
              <w:left w:val="nil"/>
              <w:bottom w:val="single" w:color="auto" w:sz="4" w:space="0"/>
              <w:right w:val="single" w:color="auto" w:sz="4" w:space="0"/>
            </w:tcBorders>
            <w:shd w:val="clear" w:color="auto" w:fill="auto"/>
            <w:vAlign w:val="center"/>
          </w:tcPr>
          <w:p w14:paraId="68E8FB09">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30万元-60万元</w:t>
            </w:r>
          </w:p>
        </w:tc>
        <w:tc>
          <w:tcPr>
            <w:tcW w:w="3898" w:type="dxa"/>
            <w:tcBorders>
              <w:top w:val="single" w:color="auto" w:sz="4" w:space="0"/>
              <w:left w:val="nil"/>
              <w:bottom w:val="single" w:color="auto" w:sz="4" w:space="0"/>
              <w:right w:val="single" w:color="auto" w:sz="4" w:space="0"/>
            </w:tcBorders>
            <w:shd w:val="clear" w:color="auto" w:fill="auto"/>
            <w:vAlign w:val="center"/>
          </w:tcPr>
          <w:p w14:paraId="17271B52">
            <w:pPr>
              <w:jc w:val="center"/>
              <w:rPr>
                <w:rFonts w:hint="eastAsia" w:ascii="仿宋_GB2312" w:hAnsi="仿宋_GB2312" w:eastAsia="仿宋_GB2312" w:cs="仿宋_GB2312"/>
                <w:kern w:val="0"/>
                <w:sz w:val="24"/>
                <w:szCs w:val="24"/>
              </w:rPr>
            </w:pPr>
          </w:p>
        </w:tc>
      </w:tr>
      <w:tr w14:paraId="2F4F407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41D786">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7553C27">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红云BI平台系统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0164371">
            <w:pPr>
              <w:widowControl/>
              <w:jc w:val="left"/>
              <w:textAlignment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数据填报、数据分析、管理驾驶舱、大屏、报表展示、AI分析、复杂式中国报表等</w:t>
            </w:r>
            <w:bookmarkStart w:id="0" w:name="_GoBack"/>
            <w:bookmarkEnd w:id="0"/>
          </w:p>
        </w:tc>
        <w:tc>
          <w:tcPr>
            <w:tcW w:w="4387" w:type="dxa"/>
            <w:tcBorders>
              <w:top w:val="single" w:color="auto" w:sz="4" w:space="0"/>
              <w:left w:val="nil"/>
              <w:bottom w:val="single" w:color="auto" w:sz="4" w:space="0"/>
              <w:right w:val="single" w:color="auto" w:sz="4" w:space="0"/>
            </w:tcBorders>
            <w:shd w:val="clear" w:color="auto" w:fill="auto"/>
            <w:vAlign w:val="center"/>
          </w:tcPr>
          <w:p w14:paraId="71598B00">
            <w:pPr>
              <w:widowControl/>
              <w:jc w:val="left"/>
              <w:textAlignment w:val="center"/>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数据填报、数据分析、管理驾驶舱、大屏、报表展示、AI分析、复杂式中国报表等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0915948F">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3万元-35万元</w:t>
            </w:r>
          </w:p>
        </w:tc>
        <w:tc>
          <w:tcPr>
            <w:tcW w:w="3898" w:type="dxa"/>
            <w:tcBorders>
              <w:top w:val="single" w:color="auto" w:sz="4" w:space="0"/>
              <w:left w:val="nil"/>
              <w:bottom w:val="single" w:color="auto" w:sz="4" w:space="0"/>
              <w:right w:val="single" w:color="auto" w:sz="4" w:space="0"/>
            </w:tcBorders>
            <w:shd w:val="clear" w:color="auto" w:fill="auto"/>
            <w:vAlign w:val="center"/>
          </w:tcPr>
          <w:p w14:paraId="080D80F2">
            <w:pPr>
              <w:jc w:val="center"/>
              <w:rPr>
                <w:rFonts w:hint="default" w:ascii="仿宋_GB2312" w:hAnsi="仿宋_GB2312" w:eastAsia="仿宋_GB2312" w:cs="仿宋_GB2312"/>
                <w:kern w:val="0"/>
                <w:sz w:val="24"/>
                <w:szCs w:val="24"/>
                <w:lang w:val="en-US" w:eastAsia="zh-CN"/>
              </w:rPr>
            </w:pPr>
          </w:p>
        </w:tc>
      </w:tr>
    </w:tbl>
    <w:p w14:paraId="58DA666D">
      <w:pPr>
        <w:rPr>
          <w:rFonts w:hint="eastAsia" w:ascii="仿宋_GB2312" w:hAnsi="仿宋_GB2312" w:eastAsia="仿宋_GB2312" w:cs="仿宋_GB2312"/>
          <w:bCs/>
          <w:sz w:val="32"/>
          <w:szCs w:val="32"/>
        </w:rPr>
      </w:pPr>
    </w:p>
    <w:p w14:paraId="647515C8">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九</w:t>
      </w:r>
      <w:r>
        <w:rPr>
          <w:rFonts w:hint="eastAsia" w:ascii="仿宋_GB2312" w:hAnsi="仿宋_GB2312" w:eastAsia="仿宋_GB2312" w:cs="仿宋_GB2312"/>
          <w:bCs/>
          <w:sz w:val="32"/>
          <w:szCs w:val="32"/>
        </w:rPr>
        <w:t>）联合体成员：广东宏创互联科技有限公司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44"/>
      </w:tblGrid>
      <w:tr w14:paraId="475D7F6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069D90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26A675C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378D34C">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034066D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1BE6857B">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44" w:type="dxa"/>
            <w:tcBorders>
              <w:top w:val="single" w:color="auto" w:sz="4" w:space="0"/>
              <w:left w:val="nil"/>
              <w:bottom w:val="single" w:color="auto" w:sz="4" w:space="0"/>
              <w:right w:val="single" w:color="auto" w:sz="4" w:space="0"/>
            </w:tcBorders>
            <w:shd w:val="clear" w:color="auto" w:fill="auto"/>
            <w:vAlign w:val="center"/>
          </w:tcPr>
          <w:p w14:paraId="2D8DD7CF">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353B28D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AAE8A21">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4E3CA8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MES管理软件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6A73F254">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客户实践</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挑战：建立一套全面的云端数字化管理系统，达到数字化工厂管理。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解决方案：建立了生产条码管理、建立排产计划模块、质量数据自动采集与管控、工序生产看板、BI驾驶舱、移动端查询等功能，打造全方位的数字化管理平台。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成效：企业内部数字化管控覆盖了约80%的业务环节，生产关键工序的数控化率达到了60%；极大的提升了管理效率，运营规范有明显成效。</w:t>
            </w:r>
          </w:p>
        </w:tc>
        <w:tc>
          <w:tcPr>
            <w:tcW w:w="4387" w:type="dxa"/>
            <w:tcBorders>
              <w:top w:val="single" w:color="auto" w:sz="4" w:space="0"/>
              <w:left w:val="nil"/>
              <w:bottom w:val="single" w:color="auto" w:sz="4" w:space="0"/>
              <w:right w:val="single" w:color="auto" w:sz="4" w:space="0"/>
            </w:tcBorders>
            <w:shd w:val="clear" w:color="auto" w:fill="auto"/>
            <w:vAlign w:val="center"/>
          </w:tcPr>
          <w:p w14:paraId="3C9D3E28">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主要功能包括：原料入库管理、计划排程管理、BI运营管理、生产执行管理、质量管理、设备互联管理等。</w:t>
            </w:r>
          </w:p>
        </w:tc>
        <w:tc>
          <w:tcPr>
            <w:tcW w:w="1551" w:type="dxa"/>
            <w:tcBorders>
              <w:top w:val="single" w:color="auto" w:sz="4" w:space="0"/>
              <w:left w:val="nil"/>
              <w:bottom w:val="single" w:color="auto" w:sz="4" w:space="0"/>
              <w:right w:val="single" w:color="auto" w:sz="4" w:space="0"/>
            </w:tcBorders>
            <w:shd w:val="clear" w:color="auto" w:fill="auto"/>
            <w:vAlign w:val="center"/>
          </w:tcPr>
          <w:p w14:paraId="0DD09D87">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60万元/年-80万元/年</w:t>
            </w:r>
          </w:p>
        </w:tc>
        <w:tc>
          <w:tcPr>
            <w:tcW w:w="3844" w:type="dxa"/>
            <w:tcBorders>
              <w:top w:val="single" w:color="auto" w:sz="4" w:space="0"/>
              <w:left w:val="nil"/>
              <w:bottom w:val="single" w:color="auto" w:sz="4" w:space="0"/>
              <w:right w:val="single" w:color="auto" w:sz="4" w:space="0"/>
            </w:tcBorders>
            <w:shd w:val="clear" w:color="auto" w:fill="auto"/>
            <w:vAlign w:val="center"/>
          </w:tcPr>
          <w:p w14:paraId="10CBEE31">
            <w:pPr>
              <w:jc w:val="center"/>
              <w:rPr>
                <w:rFonts w:hint="eastAsia" w:ascii="仿宋_GB2312" w:hAnsi="仿宋_GB2312" w:eastAsia="仿宋_GB2312" w:cs="仿宋_GB2312"/>
                <w:kern w:val="0"/>
                <w:sz w:val="24"/>
                <w:szCs w:val="24"/>
              </w:rPr>
            </w:pPr>
          </w:p>
        </w:tc>
      </w:tr>
    </w:tbl>
    <w:p w14:paraId="50BE26CF">
      <w:pPr>
        <w:spacing w:line="560" w:lineRule="exact"/>
        <w:rPr>
          <w:rFonts w:hint="eastAsia" w:ascii="仿宋_GB2312" w:hAnsi="仿宋_GB2312" w:eastAsia="仿宋_GB2312" w:cs="仿宋_GB2312"/>
          <w:bCs/>
          <w:sz w:val="32"/>
          <w:szCs w:val="32"/>
        </w:rPr>
      </w:pPr>
    </w:p>
    <w:p w14:paraId="126DD34C">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（十）联合体成员：广东三维睿新科技有限公司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44"/>
      </w:tblGrid>
      <w:tr w14:paraId="361382F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93AA3F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6619D6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32EB57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0CFEC5B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16463EF4">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44" w:type="dxa"/>
            <w:tcBorders>
              <w:top w:val="single" w:color="auto" w:sz="4" w:space="0"/>
              <w:left w:val="nil"/>
              <w:bottom w:val="single" w:color="auto" w:sz="4" w:space="0"/>
              <w:right w:val="single" w:color="auto" w:sz="4" w:space="0"/>
            </w:tcBorders>
            <w:shd w:val="clear" w:color="auto" w:fill="auto"/>
            <w:vAlign w:val="center"/>
          </w:tcPr>
          <w:p w14:paraId="26F1293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2DE5028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5095E03">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BF1B1D5">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网络安全管理软件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62C4013A">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产品适用于制造业企业，通过汇集企业办公网、工业互联网等网络安全数据和基础信息资源，形成覆盖多行业的网络安全威胁信息，通过日常事件监测沉淀威胁信息和威胁数据知识库，积累威胁分析、研判数据，一方面服务于企业网络或工业互联网威胁共享，为企业构建一张巨大的安全监测和防护“大网”，弥补企业在防护能力不足、探测能力不够、安全技能薄弱的情况；另一方面可将共享平台研判的网络安全突发事件、进行实时监测、汇总分析各种网络安全威胁和事件，对网络安全危胁风险进行提示，对重大或特别重大网络安全事件进行预警。</w:t>
            </w:r>
          </w:p>
        </w:tc>
        <w:tc>
          <w:tcPr>
            <w:tcW w:w="4387" w:type="dxa"/>
            <w:tcBorders>
              <w:top w:val="single" w:color="auto" w:sz="4" w:space="0"/>
              <w:left w:val="nil"/>
              <w:bottom w:val="single" w:color="auto" w:sz="4" w:space="0"/>
              <w:right w:val="single" w:color="auto" w:sz="4" w:space="0"/>
            </w:tcBorders>
            <w:shd w:val="clear" w:color="auto" w:fill="auto"/>
            <w:vAlign w:val="center"/>
          </w:tcPr>
          <w:p w14:paraId="3B1F6133">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通过在用户侧部署前端感知设备，提供安全风险的监测能力，实现对安全威胁进行预警、识别、分析、事件响应处置；7*24小时专家快速响应提供线上免接触式远程服务；每月可视化威胁感知、安全月报、安全服务；每年2次线下现场安全巡检服务，实现降本增效。</w:t>
            </w:r>
          </w:p>
        </w:tc>
        <w:tc>
          <w:tcPr>
            <w:tcW w:w="1551" w:type="dxa"/>
            <w:tcBorders>
              <w:top w:val="single" w:color="auto" w:sz="4" w:space="0"/>
              <w:left w:val="nil"/>
              <w:bottom w:val="single" w:color="auto" w:sz="4" w:space="0"/>
              <w:right w:val="single" w:color="auto" w:sz="4" w:space="0"/>
            </w:tcBorders>
            <w:shd w:val="clear" w:color="auto" w:fill="auto"/>
            <w:vAlign w:val="center"/>
          </w:tcPr>
          <w:p w14:paraId="45EDC3D0">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0.5万元-12万元/年</w:t>
            </w:r>
          </w:p>
        </w:tc>
        <w:tc>
          <w:tcPr>
            <w:tcW w:w="3844" w:type="dxa"/>
            <w:tcBorders>
              <w:top w:val="single" w:color="auto" w:sz="4" w:space="0"/>
              <w:left w:val="nil"/>
              <w:bottom w:val="single" w:color="auto" w:sz="4" w:space="0"/>
              <w:right w:val="single" w:color="auto" w:sz="4" w:space="0"/>
            </w:tcBorders>
            <w:shd w:val="clear" w:color="auto" w:fill="auto"/>
            <w:vAlign w:val="center"/>
          </w:tcPr>
          <w:p w14:paraId="4953F7E3">
            <w:pPr>
              <w:jc w:val="center"/>
              <w:rPr>
                <w:rFonts w:hint="eastAsia" w:ascii="仿宋_GB2312" w:hAnsi="仿宋_GB2312" w:eastAsia="仿宋_GB2312" w:cs="仿宋_GB2312"/>
                <w:kern w:val="0"/>
                <w:sz w:val="24"/>
                <w:szCs w:val="24"/>
              </w:rPr>
            </w:pPr>
          </w:p>
        </w:tc>
      </w:tr>
    </w:tbl>
    <w:p w14:paraId="47FE84EB">
      <w:pPr>
        <w:spacing w:line="560" w:lineRule="exact"/>
        <w:rPr>
          <w:rFonts w:hint="eastAsia" w:ascii="仿宋_GB2312" w:hAnsi="仿宋_GB2312" w:eastAsia="仿宋_GB2312" w:cs="仿宋_GB2312"/>
          <w:bCs/>
          <w:sz w:val="32"/>
          <w:szCs w:val="32"/>
        </w:rPr>
      </w:pPr>
    </w:p>
    <w:p w14:paraId="498C70E4">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（十</w:t>
      </w: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rPr>
        <w:t>）联合体成员：广州鸿领软件科技有限公司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44"/>
      </w:tblGrid>
      <w:tr w14:paraId="2E0A8F0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4FC5D8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83B8340">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B639DB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698A7F7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20EBE9AA">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44" w:type="dxa"/>
            <w:tcBorders>
              <w:top w:val="single" w:color="auto" w:sz="4" w:space="0"/>
              <w:left w:val="nil"/>
              <w:bottom w:val="single" w:color="auto" w:sz="4" w:space="0"/>
              <w:right w:val="single" w:color="auto" w:sz="4" w:space="0"/>
            </w:tcBorders>
            <w:shd w:val="clear" w:color="auto" w:fill="auto"/>
            <w:vAlign w:val="center"/>
          </w:tcPr>
          <w:p w14:paraId="47870B7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06570A6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447C984">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BFCF891">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鸿云MES生产协同软件[简称鸿云MES]v1.0</w:t>
            </w:r>
          </w:p>
        </w:tc>
        <w:tc>
          <w:tcPr>
            <w:tcW w:w="2318" w:type="dxa"/>
            <w:tcBorders>
              <w:top w:val="single" w:color="auto" w:sz="4" w:space="0"/>
              <w:left w:val="nil"/>
              <w:bottom w:val="single" w:color="auto" w:sz="4" w:space="0"/>
              <w:right w:val="single" w:color="auto" w:sz="4" w:space="0"/>
            </w:tcBorders>
            <w:shd w:val="clear" w:color="auto" w:fill="auto"/>
            <w:vAlign w:val="center"/>
          </w:tcPr>
          <w:p w14:paraId="2A27BD92">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rPr>
              <w:t>生产企业的数字化管理系统和技术手段，实现业务流程的自动化、智能化和精细化管理。1.提高处理速度：通过引入协同设计平台、ERP/MES系统、物料管理系统（WMS）等数字化工具，实现设计、计划、装配、生产等环节的快速响应和高效协同，缩短产品上市周期。2.减少延迟：优化生产计划，实现装配计划与零件计划的自动联动，减少交货期变更时的修改工作量，确保产品按时交付。同时，通过实时监控设备的运行状态和加工进度，及时调整生产计划，减少生产延迟。3.增加安全性：建立数字化追溯系统，实现生产过程用料、生产、检验、关键零件批号等信息的自动记录和查询，确保产品质量可追溯，提高产品的安全性和可靠性。4.提升数据准确性：通过引入物联网技术、智能检测设备等手段，实现生产数据的实时采集和自动分析，减少人工记录和手工填写带来的数据误差，提高数据准确性。5.优化成本结构：通过数字化管理，实现物料、设备、人力等资源的优化配置，降低生产成本，提高经济效益。</w:t>
            </w:r>
          </w:p>
        </w:tc>
        <w:tc>
          <w:tcPr>
            <w:tcW w:w="4387" w:type="dxa"/>
            <w:tcBorders>
              <w:top w:val="single" w:color="auto" w:sz="4" w:space="0"/>
              <w:left w:val="nil"/>
              <w:bottom w:val="single" w:color="auto" w:sz="4" w:space="0"/>
              <w:right w:val="single" w:color="auto" w:sz="4" w:space="0"/>
            </w:tcBorders>
            <w:shd w:val="clear" w:color="auto" w:fill="auto"/>
            <w:vAlign w:val="center"/>
          </w:tcPr>
          <w:p w14:paraId="63E7E00E">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生产执行MES：计划管理、工单管理、制程管理、人员管理、安灯管理、生产看板 </w:t>
            </w:r>
          </w:p>
          <w:p w14:paraId="099EF10D">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APS计划：工作日历、排产策略、交期预测、资源占用、智能排产 </w:t>
            </w:r>
          </w:p>
          <w:p w14:paraId="2E441218">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设备管理EMS：设备台账、点检管理、巡检管理、保养管理、润滑管理、维修管理、技改管理、备件管理、运维管理、设备履历、统计报表 </w:t>
            </w:r>
          </w:p>
          <w:p w14:paraId="297D8D97">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仓库管理WMS：条码管理、库位设置、原料入库、来料检验、扫码领料、扫码入库、批次管控、库内检验、包装拆包、物料锁定、扫码盘点、扫码调拨、组拖分拖 </w:t>
            </w:r>
          </w:p>
          <w:p w14:paraId="0D98C488">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质量管理QMS：检验方案、来料检验、首检、巡检、成品检验、出货检验、库内检验、检测管理、SPC管理、变化点管理、良率管理、不良管理 </w:t>
            </w:r>
          </w:p>
          <w:p w14:paraId="7411E98F">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设备数采IOT：设备档案、消息配置、建模配置、数据服务、参数存储、消息日志、参数查询</w:t>
            </w:r>
          </w:p>
        </w:tc>
        <w:tc>
          <w:tcPr>
            <w:tcW w:w="1551" w:type="dxa"/>
            <w:tcBorders>
              <w:top w:val="single" w:color="auto" w:sz="4" w:space="0"/>
              <w:left w:val="nil"/>
              <w:bottom w:val="single" w:color="auto" w:sz="4" w:space="0"/>
              <w:right w:val="single" w:color="auto" w:sz="4" w:space="0"/>
            </w:tcBorders>
            <w:shd w:val="clear" w:color="auto" w:fill="auto"/>
            <w:vAlign w:val="center"/>
          </w:tcPr>
          <w:p w14:paraId="33712B60">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50万元-110万元</w:t>
            </w:r>
          </w:p>
        </w:tc>
        <w:tc>
          <w:tcPr>
            <w:tcW w:w="3844" w:type="dxa"/>
            <w:tcBorders>
              <w:top w:val="single" w:color="auto" w:sz="4" w:space="0"/>
              <w:left w:val="nil"/>
              <w:bottom w:val="single" w:color="auto" w:sz="4" w:space="0"/>
              <w:right w:val="single" w:color="auto" w:sz="4" w:space="0"/>
            </w:tcBorders>
            <w:shd w:val="clear" w:color="auto" w:fill="auto"/>
            <w:vAlign w:val="center"/>
          </w:tcPr>
          <w:p w14:paraId="29E9C60C">
            <w:pPr>
              <w:jc w:val="center"/>
              <w:rPr>
                <w:rFonts w:hint="eastAsia" w:ascii="仿宋_GB2312" w:hAnsi="仿宋_GB2312" w:eastAsia="仿宋_GB2312" w:cs="仿宋_GB2312"/>
                <w:kern w:val="0"/>
                <w:sz w:val="24"/>
                <w:szCs w:val="24"/>
              </w:rPr>
            </w:pPr>
          </w:p>
        </w:tc>
      </w:tr>
      <w:tr w14:paraId="7FF700A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143232D">
            <w:pPr>
              <w:widowControl/>
              <w:jc w:val="center"/>
              <w:textAlignment w:val="center"/>
              <w:rPr>
                <w:rFonts w:hint="eastAsia" w:ascii="仿宋_GB2312" w:hAnsi="仿宋_GB2312" w:eastAsia="仿宋_GB2312" w:cs="仿宋_GB2312"/>
                <w:kern w:val="0"/>
                <w:sz w:val="24"/>
                <w:szCs w:val="24"/>
                <w:lang w:val="en-US" w:eastAsia="zh-CN" w:bidi="ar"/>
              </w:rPr>
            </w:pPr>
            <w:r>
              <w:rPr>
                <w:rFonts w:hint="eastAsia" w:ascii="仿宋_GB2312" w:hAnsi="仿宋_GB2312" w:eastAsia="仿宋_GB2312" w:cs="仿宋_GB2312"/>
                <w:kern w:val="0"/>
                <w:sz w:val="24"/>
                <w:szCs w:val="24"/>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C49C14C">
            <w:pPr>
              <w:widowControl/>
              <w:jc w:val="left"/>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鸿云WMS仓储执行软件</w:t>
            </w:r>
          </w:p>
        </w:tc>
        <w:tc>
          <w:tcPr>
            <w:tcW w:w="2318" w:type="dxa"/>
            <w:tcBorders>
              <w:top w:val="single" w:color="auto" w:sz="4" w:space="0"/>
              <w:left w:val="nil"/>
              <w:bottom w:val="single" w:color="auto" w:sz="4" w:space="0"/>
              <w:right w:val="single" w:color="auto" w:sz="4" w:space="0"/>
            </w:tcBorders>
            <w:shd w:val="clear" w:color="auto" w:fill="auto"/>
            <w:vAlign w:val="center"/>
          </w:tcPr>
          <w:p w14:paraId="39A8A39C">
            <w:pPr>
              <w:keepNext w:val="0"/>
              <w:keepLines w:val="0"/>
              <w:widowControl/>
              <w:suppressLineNumbers w:val="0"/>
              <w:jc w:val="left"/>
              <w:textAlignment w:val="center"/>
              <w:rPr>
                <w:rFonts w:hint="eastAsia"/>
              </w:rPr>
            </w:pPr>
            <w:r>
              <w:rPr>
                <w:rFonts w:hint="eastAsia"/>
              </w:rPr>
              <w:t>应用于各类仓库，如制造业、零售业、电商等。其主要应用场景包括：收货环节，系统指导员工快速准确完成货物验收；储存环节，通过合理规划库位，提高仓库利用率；拣货环节，系统优化拣选，提升作业效率；发货环节，确保订单准确无误，降低出错率；库存管理，实时掌握库存数据，减少积压与缺货风险；数据分析，为企业决策提供有力支持。</w:t>
            </w:r>
          </w:p>
        </w:tc>
        <w:tc>
          <w:tcPr>
            <w:tcW w:w="4387" w:type="dxa"/>
            <w:tcBorders>
              <w:top w:val="single" w:color="auto" w:sz="4" w:space="0"/>
              <w:left w:val="nil"/>
              <w:bottom w:val="single" w:color="auto" w:sz="4" w:space="0"/>
              <w:right w:val="single" w:color="auto" w:sz="4" w:space="0"/>
            </w:tcBorders>
            <w:shd w:val="clear" w:color="auto" w:fill="auto"/>
            <w:vAlign w:val="center"/>
          </w:tcPr>
          <w:p w14:paraId="30B6D1FB">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基础配置，库位设定，物料设定，载具设置，条码管理，收货作业，出货作业，入库作业，出库作业，余额表，调库作业，存货作业，仓库看板</w:t>
            </w:r>
          </w:p>
        </w:tc>
        <w:tc>
          <w:tcPr>
            <w:tcW w:w="1551" w:type="dxa"/>
            <w:tcBorders>
              <w:top w:val="single" w:color="auto" w:sz="4" w:space="0"/>
              <w:left w:val="nil"/>
              <w:bottom w:val="single" w:color="auto" w:sz="4" w:space="0"/>
              <w:right w:val="single" w:color="auto" w:sz="4" w:space="0"/>
            </w:tcBorders>
            <w:shd w:val="clear" w:color="auto" w:fill="auto"/>
            <w:vAlign w:val="center"/>
          </w:tcPr>
          <w:p w14:paraId="7877293E">
            <w:pPr>
              <w:widowControl/>
              <w:jc w:val="center"/>
              <w:textAlignment w:val="center"/>
              <w:rPr>
                <w:rFonts w:hint="eastAsia" w:ascii="仿宋_GB2312" w:hAnsi="宋体" w:eastAsia="仿宋_GB2312" w:cs="仿宋_GB2312"/>
                <w:color w:val="000000"/>
                <w:kern w:val="0"/>
                <w:sz w:val="24"/>
                <w:szCs w:val="24"/>
                <w:lang w:bidi="ar"/>
              </w:rPr>
            </w:pPr>
            <w:r>
              <w:rPr>
                <w:rFonts w:hint="eastAsia" w:ascii="仿宋_GB2312" w:hAnsi="宋体" w:eastAsia="仿宋_GB2312" w:cs="仿宋_GB2312"/>
                <w:color w:val="000000"/>
                <w:kern w:val="0"/>
                <w:sz w:val="24"/>
                <w:szCs w:val="24"/>
                <w:lang w:bidi="ar"/>
              </w:rPr>
              <w:t>35万元-50万元</w:t>
            </w:r>
          </w:p>
        </w:tc>
        <w:tc>
          <w:tcPr>
            <w:tcW w:w="3844" w:type="dxa"/>
            <w:tcBorders>
              <w:top w:val="single" w:color="auto" w:sz="4" w:space="0"/>
              <w:left w:val="nil"/>
              <w:bottom w:val="single" w:color="auto" w:sz="4" w:space="0"/>
              <w:right w:val="single" w:color="auto" w:sz="4" w:space="0"/>
            </w:tcBorders>
            <w:shd w:val="clear" w:color="auto" w:fill="auto"/>
            <w:vAlign w:val="center"/>
          </w:tcPr>
          <w:p w14:paraId="3C5423BF">
            <w:pPr>
              <w:jc w:val="center"/>
              <w:rPr>
                <w:rFonts w:hint="eastAsia" w:ascii="仿宋_GB2312" w:hAnsi="仿宋_GB2312" w:eastAsia="仿宋_GB2312" w:cs="仿宋_GB2312"/>
                <w:kern w:val="0"/>
                <w:sz w:val="24"/>
                <w:szCs w:val="24"/>
              </w:rPr>
            </w:pPr>
          </w:p>
        </w:tc>
      </w:tr>
    </w:tbl>
    <w:p w14:paraId="4945ABC1">
      <w:pPr>
        <w:pStyle w:val="2"/>
        <w:rPr>
          <w:rFonts w:hint="eastAsia" w:ascii="仿宋_GB2312" w:hAnsi="仿宋_GB2312" w:eastAsia="仿宋_GB2312" w:cs="仿宋_GB2312"/>
          <w:bCs/>
          <w:sz w:val="32"/>
          <w:szCs w:val="32"/>
        </w:rPr>
      </w:pPr>
    </w:p>
    <w:p w14:paraId="474C3F3A">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（十</w:t>
      </w:r>
      <w:r>
        <w:rPr>
          <w:rFonts w:hint="eastAsia" w:ascii="仿宋_GB2312" w:hAnsi="仿宋_GB2312" w:eastAsia="仿宋_GB2312" w:cs="仿宋_GB2312"/>
          <w:bCs/>
          <w:sz w:val="32"/>
          <w:szCs w:val="32"/>
          <w:lang w:val="en-US" w:eastAsia="zh-CN"/>
        </w:rPr>
        <w:t>二</w:t>
      </w:r>
      <w:r>
        <w:rPr>
          <w:rFonts w:hint="eastAsia" w:ascii="仿宋_GB2312" w:hAnsi="仿宋_GB2312" w:eastAsia="仿宋_GB2312" w:cs="仿宋_GB2312"/>
          <w:bCs/>
          <w:sz w:val="32"/>
          <w:szCs w:val="32"/>
        </w:rPr>
        <w:t>）联合体成员：深圳市深科特信息技术有限公司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44"/>
      </w:tblGrid>
      <w:tr w14:paraId="478FFE2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3E7E5A3">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0A6B2ED5">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CE3975E">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5D13513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3DA37D56">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44" w:type="dxa"/>
            <w:tcBorders>
              <w:top w:val="single" w:color="auto" w:sz="4" w:space="0"/>
              <w:left w:val="nil"/>
              <w:bottom w:val="single" w:color="auto" w:sz="4" w:space="0"/>
              <w:right w:val="single" w:color="auto" w:sz="4" w:space="0"/>
            </w:tcBorders>
            <w:shd w:val="clear" w:color="auto" w:fill="auto"/>
            <w:vAlign w:val="center"/>
          </w:tcPr>
          <w:p w14:paraId="4C1B9E66">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13010E6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7C56A7">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74877C6">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生产制造执行软件系统</w:t>
            </w:r>
          </w:p>
        </w:tc>
        <w:tc>
          <w:tcPr>
            <w:tcW w:w="2318" w:type="dxa"/>
            <w:tcBorders>
              <w:top w:val="single" w:color="auto" w:sz="4" w:space="0"/>
              <w:left w:val="nil"/>
              <w:bottom w:val="single" w:color="auto" w:sz="4" w:space="0"/>
              <w:right w:val="single" w:color="auto" w:sz="4" w:space="0"/>
            </w:tcBorders>
            <w:shd w:val="clear" w:color="auto" w:fill="auto"/>
            <w:vAlign w:val="center"/>
          </w:tcPr>
          <w:p w14:paraId="39AFE98E">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rPr>
              <w:t>精益生产制造执行软件系统针对生产流程、品质管理、设备夹具、上料防呆防错、电子看板、BI中心等场景进行管控，适用于电子装备、机械加工、注塑冲压、新能源、新材料、食品化工行业，实现透明化、可视化、精细化管理。</w:t>
            </w:r>
          </w:p>
        </w:tc>
        <w:tc>
          <w:tcPr>
            <w:tcW w:w="4387" w:type="dxa"/>
            <w:tcBorders>
              <w:top w:val="single" w:color="auto" w:sz="4" w:space="0"/>
              <w:left w:val="nil"/>
              <w:bottom w:val="single" w:color="auto" w:sz="4" w:space="0"/>
              <w:right w:val="single" w:color="auto" w:sz="4" w:space="0"/>
            </w:tcBorders>
            <w:shd w:val="clear" w:color="auto" w:fill="auto"/>
            <w:vAlign w:val="center"/>
          </w:tcPr>
          <w:p w14:paraId="4B2C8DB1">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精益生产制造执行软件系统打通从订单、计划、生产、质检、库存、设备、物流等环节，打造数字化、可视化工厂。主要解决制造管理过程中账实不一致、作业效率低、数据滞后、设备孤岛、问题追溯难、跨部门沟通难、闭环检讨难、交期延误等问题。</w:t>
            </w:r>
          </w:p>
        </w:tc>
        <w:tc>
          <w:tcPr>
            <w:tcW w:w="1551" w:type="dxa"/>
            <w:tcBorders>
              <w:top w:val="single" w:color="auto" w:sz="4" w:space="0"/>
              <w:left w:val="nil"/>
              <w:bottom w:val="single" w:color="auto" w:sz="4" w:space="0"/>
              <w:right w:val="single" w:color="auto" w:sz="4" w:space="0"/>
            </w:tcBorders>
            <w:shd w:val="clear" w:color="auto" w:fill="auto"/>
            <w:vAlign w:val="center"/>
          </w:tcPr>
          <w:p w14:paraId="60ABD25B">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50万元-180万元</w:t>
            </w:r>
          </w:p>
        </w:tc>
        <w:tc>
          <w:tcPr>
            <w:tcW w:w="3844" w:type="dxa"/>
            <w:tcBorders>
              <w:top w:val="single" w:color="auto" w:sz="4" w:space="0"/>
              <w:left w:val="nil"/>
              <w:bottom w:val="single" w:color="auto" w:sz="4" w:space="0"/>
              <w:right w:val="single" w:color="auto" w:sz="4" w:space="0"/>
            </w:tcBorders>
            <w:shd w:val="clear" w:color="auto" w:fill="auto"/>
            <w:vAlign w:val="center"/>
          </w:tcPr>
          <w:p w14:paraId="6275B108">
            <w:pPr>
              <w:jc w:val="center"/>
              <w:rPr>
                <w:rFonts w:hint="eastAsia" w:ascii="仿宋_GB2312" w:hAnsi="仿宋_GB2312" w:eastAsia="仿宋_GB2312" w:cs="仿宋_GB2312"/>
                <w:kern w:val="0"/>
                <w:sz w:val="24"/>
                <w:szCs w:val="24"/>
              </w:rPr>
            </w:pPr>
          </w:p>
        </w:tc>
      </w:tr>
    </w:tbl>
    <w:p w14:paraId="6E3C2568">
      <w:pPr>
        <w:jc w:val="both"/>
        <w:rPr>
          <w:rFonts w:hint="eastAsia" w:ascii="仿宋_GB2312" w:hAnsi="仿宋_GB2312" w:eastAsia="仿宋_GB2312" w:cs="仿宋_GB2312"/>
          <w:bCs/>
          <w:sz w:val="32"/>
          <w:szCs w:val="32"/>
        </w:rPr>
      </w:pPr>
    </w:p>
    <w:p w14:paraId="5F8D0B81">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（十</w:t>
      </w:r>
      <w:r>
        <w:rPr>
          <w:rFonts w:hint="eastAsia" w:ascii="仿宋_GB2312" w:hAnsi="仿宋_GB2312" w:eastAsia="仿宋_GB2312" w:cs="仿宋_GB2312"/>
          <w:bCs/>
          <w:sz w:val="32"/>
          <w:szCs w:val="32"/>
          <w:lang w:val="en-US" w:eastAsia="zh-CN"/>
        </w:rPr>
        <w:t>三</w:t>
      </w:r>
      <w:r>
        <w:rPr>
          <w:rFonts w:hint="eastAsia" w:ascii="仿宋_GB2312" w:hAnsi="仿宋_GB2312" w:eastAsia="仿宋_GB2312" w:cs="仿宋_GB2312"/>
          <w:bCs/>
          <w:sz w:val="32"/>
          <w:szCs w:val="32"/>
        </w:rPr>
        <w:t>）联合体成员：湛蓝科技股份有限公司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44"/>
      </w:tblGrid>
      <w:tr w14:paraId="7D1AB20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807A7A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220184E8">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81FA2F1">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15837162">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722BAA44">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44" w:type="dxa"/>
            <w:tcBorders>
              <w:top w:val="single" w:color="auto" w:sz="4" w:space="0"/>
              <w:left w:val="nil"/>
              <w:bottom w:val="single" w:color="auto" w:sz="4" w:space="0"/>
              <w:right w:val="single" w:color="auto" w:sz="4" w:space="0"/>
            </w:tcBorders>
            <w:shd w:val="clear" w:color="auto" w:fill="auto"/>
            <w:vAlign w:val="center"/>
          </w:tcPr>
          <w:p w14:paraId="73714354">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443B40A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D61E1C">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D66B68A">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湛蓝制造业数智化解决方案</w:t>
            </w:r>
          </w:p>
        </w:tc>
        <w:tc>
          <w:tcPr>
            <w:tcW w:w="2318" w:type="dxa"/>
            <w:tcBorders>
              <w:top w:val="single" w:color="auto" w:sz="4" w:space="0"/>
              <w:left w:val="nil"/>
              <w:bottom w:val="single" w:color="auto" w:sz="4" w:space="0"/>
              <w:right w:val="single" w:color="auto" w:sz="4" w:space="0"/>
            </w:tcBorders>
            <w:shd w:val="clear" w:color="auto" w:fill="auto"/>
            <w:vAlign w:val="center"/>
          </w:tcPr>
          <w:p w14:paraId="5224597C">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rPr>
              <w:t>产品展示交易、客户沟通、客户跟进、销售管理、客户运营、销售开单、采购入库、仓库管理、财务管理、委外生产、质量品控、售后服务、计划排程、人事管理、办公协同</w:t>
            </w:r>
          </w:p>
        </w:tc>
        <w:tc>
          <w:tcPr>
            <w:tcW w:w="4387" w:type="dxa"/>
            <w:tcBorders>
              <w:top w:val="single" w:color="auto" w:sz="4" w:space="0"/>
              <w:left w:val="nil"/>
              <w:bottom w:val="single" w:color="auto" w:sz="4" w:space="0"/>
              <w:right w:val="single" w:color="auto" w:sz="4" w:space="0"/>
            </w:tcBorders>
            <w:shd w:val="clear" w:color="auto" w:fill="auto"/>
            <w:vAlign w:val="center"/>
          </w:tcPr>
          <w:p w14:paraId="52F92EC3">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提供全链路数字化管理平台，集成营销、采购、仓储、财务、生产、质量、售后服务、计划排程、人事管理、办公协同等功能，助力企业智能化升级。适合追求全面智能化升级的企业，尤其是对内部管理精细化、协同办公高效化有较高要求的大型纺织&amp;服装企业。</w:t>
            </w:r>
          </w:p>
        </w:tc>
        <w:tc>
          <w:tcPr>
            <w:tcW w:w="1551" w:type="dxa"/>
            <w:tcBorders>
              <w:top w:val="single" w:color="auto" w:sz="4" w:space="0"/>
              <w:left w:val="nil"/>
              <w:bottom w:val="single" w:color="auto" w:sz="4" w:space="0"/>
              <w:right w:val="single" w:color="auto" w:sz="4" w:space="0"/>
            </w:tcBorders>
            <w:shd w:val="clear" w:color="auto" w:fill="auto"/>
            <w:vAlign w:val="center"/>
          </w:tcPr>
          <w:p w14:paraId="0DA9677E">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3</w:t>
            </w:r>
            <w:r>
              <w:rPr>
                <w:rFonts w:hint="eastAsia" w:ascii="仿宋_GB2312" w:hAnsi="宋体" w:eastAsia="仿宋_GB2312" w:cs="仿宋_GB2312"/>
                <w:color w:val="000000"/>
                <w:kern w:val="0"/>
                <w:sz w:val="24"/>
                <w:szCs w:val="24"/>
                <w:lang w:val="en-US" w:eastAsia="zh-CN" w:bidi="ar"/>
              </w:rPr>
              <w:t>0</w:t>
            </w:r>
            <w:r>
              <w:rPr>
                <w:rFonts w:hint="eastAsia" w:ascii="仿宋_GB2312" w:hAnsi="宋体" w:eastAsia="仿宋_GB2312" w:cs="仿宋_GB2312"/>
                <w:color w:val="000000"/>
                <w:kern w:val="0"/>
                <w:sz w:val="24"/>
                <w:szCs w:val="24"/>
                <w:lang w:bidi="ar"/>
              </w:rPr>
              <w:t>万元-3</w:t>
            </w:r>
            <w:r>
              <w:rPr>
                <w:rFonts w:hint="eastAsia" w:ascii="仿宋_GB2312" w:hAnsi="宋体" w:eastAsia="仿宋_GB2312" w:cs="仿宋_GB2312"/>
                <w:color w:val="000000"/>
                <w:kern w:val="0"/>
                <w:sz w:val="24"/>
                <w:szCs w:val="24"/>
                <w:lang w:val="en-US" w:eastAsia="zh-CN" w:bidi="ar"/>
              </w:rPr>
              <w:t>50</w:t>
            </w:r>
            <w:r>
              <w:rPr>
                <w:rFonts w:hint="eastAsia" w:ascii="仿宋_GB2312" w:hAnsi="宋体" w:eastAsia="仿宋_GB2312" w:cs="仿宋_GB2312"/>
                <w:color w:val="000000"/>
                <w:kern w:val="0"/>
                <w:sz w:val="24"/>
                <w:szCs w:val="24"/>
                <w:lang w:bidi="ar"/>
              </w:rPr>
              <w:t>万元</w:t>
            </w:r>
          </w:p>
        </w:tc>
        <w:tc>
          <w:tcPr>
            <w:tcW w:w="3844" w:type="dxa"/>
            <w:tcBorders>
              <w:top w:val="single" w:color="auto" w:sz="4" w:space="0"/>
              <w:left w:val="nil"/>
              <w:bottom w:val="single" w:color="auto" w:sz="4" w:space="0"/>
              <w:right w:val="single" w:color="auto" w:sz="4" w:space="0"/>
            </w:tcBorders>
            <w:shd w:val="clear" w:color="auto" w:fill="auto"/>
            <w:vAlign w:val="center"/>
          </w:tcPr>
          <w:p w14:paraId="46005F00">
            <w:pPr>
              <w:jc w:val="center"/>
              <w:rPr>
                <w:rFonts w:hint="eastAsia" w:ascii="仿宋_GB2312" w:hAnsi="仿宋_GB2312" w:eastAsia="仿宋_GB2312" w:cs="仿宋_GB2312"/>
                <w:kern w:val="0"/>
                <w:sz w:val="24"/>
                <w:szCs w:val="24"/>
              </w:rPr>
            </w:pPr>
          </w:p>
        </w:tc>
      </w:tr>
    </w:tbl>
    <w:p w14:paraId="27775E79">
      <w:pPr>
        <w:spacing w:line="560" w:lineRule="exact"/>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（十</w:t>
      </w:r>
      <w:r>
        <w:rPr>
          <w:rFonts w:hint="eastAsia" w:ascii="仿宋_GB2312" w:hAnsi="仿宋_GB2312" w:eastAsia="仿宋_GB2312" w:cs="仿宋_GB2312"/>
          <w:bCs/>
          <w:sz w:val="32"/>
          <w:szCs w:val="32"/>
          <w:highlight w:val="none"/>
          <w:lang w:val="en-US" w:eastAsia="zh-CN"/>
        </w:rPr>
        <w:t>三</w:t>
      </w:r>
      <w:r>
        <w:rPr>
          <w:rFonts w:hint="eastAsia" w:ascii="仿宋_GB2312" w:hAnsi="仿宋_GB2312" w:eastAsia="仿宋_GB2312" w:cs="仿宋_GB2312"/>
          <w:bCs/>
          <w:sz w:val="32"/>
          <w:szCs w:val="32"/>
          <w:highlight w:val="none"/>
        </w:rPr>
        <w:t>）联合体成员：广东赛意信息科技有限公司</w:t>
      </w:r>
    </w:p>
    <w:tbl>
      <w:tblPr>
        <w:tblStyle w:val="14"/>
        <w:tblW w:w="0" w:type="auto"/>
        <w:tblInd w:w="113" w:type="dxa"/>
        <w:tblLayout w:type="autofit"/>
        <w:tblCellMar>
          <w:top w:w="0" w:type="dxa"/>
          <w:left w:w="108" w:type="dxa"/>
          <w:bottom w:w="0" w:type="dxa"/>
          <w:right w:w="108" w:type="dxa"/>
        </w:tblCellMar>
      </w:tblPr>
      <w:tblGrid>
        <w:gridCol w:w="806"/>
        <w:gridCol w:w="1536"/>
        <w:gridCol w:w="2318"/>
        <w:gridCol w:w="4387"/>
        <w:gridCol w:w="1551"/>
        <w:gridCol w:w="3844"/>
      </w:tblGrid>
      <w:tr w14:paraId="795D727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D6B119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0394BE5A">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01B930B">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0AA11657">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027FB85B">
            <w:pPr>
              <w:widowControl/>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44" w:type="dxa"/>
            <w:tcBorders>
              <w:top w:val="single" w:color="auto" w:sz="4" w:space="0"/>
              <w:left w:val="nil"/>
              <w:bottom w:val="single" w:color="auto" w:sz="4" w:space="0"/>
              <w:right w:val="single" w:color="auto" w:sz="4" w:space="0"/>
            </w:tcBorders>
            <w:shd w:val="clear" w:color="auto" w:fill="auto"/>
            <w:vAlign w:val="center"/>
          </w:tcPr>
          <w:p w14:paraId="72E1677D">
            <w:pPr>
              <w:widowControl/>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59D76FD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CF50B20">
            <w:pPr>
              <w:widowControl/>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464DF1C">
            <w:pPr>
              <w:widowControl/>
              <w:jc w:val="left"/>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赛意制造运营管理平台 简称[SM0M]V10.0</w:t>
            </w:r>
          </w:p>
        </w:tc>
        <w:tc>
          <w:tcPr>
            <w:tcW w:w="2318" w:type="dxa"/>
            <w:tcBorders>
              <w:top w:val="single" w:color="auto" w:sz="4" w:space="0"/>
              <w:left w:val="nil"/>
              <w:bottom w:val="single" w:color="auto" w:sz="4" w:space="0"/>
              <w:right w:val="single" w:color="auto" w:sz="4" w:space="0"/>
            </w:tcBorders>
            <w:shd w:val="clear" w:color="auto" w:fill="auto"/>
            <w:vAlign w:val="center"/>
          </w:tcPr>
          <w:p w14:paraId="68F5A5F2">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rPr>
              <w:t>生产智能制造</w:t>
            </w:r>
          </w:p>
        </w:tc>
        <w:tc>
          <w:tcPr>
            <w:tcW w:w="4387" w:type="dxa"/>
            <w:tcBorders>
              <w:top w:val="single" w:color="auto" w:sz="4" w:space="0"/>
              <w:left w:val="nil"/>
              <w:bottom w:val="single" w:color="auto" w:sz="4" w:space="0"/>
              <w:right w:val="single" w:color="auto" w:sz="4" w:space="0"/>
            </w:tcBorders>
            <w:shd w:val="clear" w:color="auto" w:fill="auto"/>
            <w:vAlign w:val="center"/>
          </w:tcPr>
          <w:p w14:paraId="4D48EF9E">
            <w:pPr>
              <w:keepNext w:val="0"/>
              <w:keepLines w:val="0"/>
              <w:widowControl/>
              <w:suppressLineNumbers w:val="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赛意制造运营管理系统SMOM，是一套基于智能制造理念，为企业提供制造数据采集、设备集成物联、从需求到交付端到端业务管理协同、智能化运营管理于一体的数智化解决方案，赋能客户从数字价值实现到以支撑业务价值兑现。</w:t>
            </w:r>
          </w:p>
        </w:tc>
        <w:tc>
          <w:tcPr>
            <w:tcW w:w="1551" w:type="dxa"/>
            <w:tcBorders>
              <w:top w:val="single" w:color="auto" w:sz="4" w:space="0"/>
              <w:left w:val="nil"/>
              <w:bottom w:val="single" w:color="auto" w:sz="4" w:space="0"/>
              <w:right w:val="single" w:color="auto" w:sz="4" w:space="0"/>
            </w:tcBorders>
            <w:shd w:val="clear" w:color="auto" w:fill="auto"/>
            <w:vAlign w:val="center"/>
          </w:tcPr>
          <w:p w14:paraId="19D9E92F">
            <w:pPr>
              <w:widowControl/>
              <w:jc w:val="center"/>
              <w:textAlignment w:val="center"/>
              <w:rPr>
                <w:rFonts w:hint="eastAsia" w:ascii="仿宋_GB2312" w:hAnsi="仿宋_GB2312" w:eastAsia="仿宋_GB2312" w:cs="仿宋_GB2312"/>
                <w:kern w:val="0"/>
                <w:sz w:val="24"/>
                <w:szCs w:val="24"/>
              </w:rPr>
            </w:pPr>
            <w:r>
              <w:rPr>
                <w:rFonts w:hint="eastAsia" w:ascii="仿宋_GB2312" w:hAnsi="宋体" w:eastAsia="仿宋_GB2312" w:cs="仿宋_GB2312"/>
                <w:color w:val="000000"/>
                <w:kern w:val="0"/>
                <w:sz w:val="24"/>
                <w:szCs w:val="24"/>
                <w:lang w:bidi="ar"/>
              </w:rPr>
              <w:t>60万元-300万元</w:t>
            </w:r>
          </w:p>
        </w:tc>
        <w:tc>
          <w:tcPr>
            <w:tcW w:w="3844" w:type="dxa"/>
            <w:tcBorders>
              <w:top w:val="single" w:color="auto" w:sz="4" w:space="0"/>
              <w:left w:val="nil"/>
              <w:bottom w:val="single" w:color="auto" w:sz="4" w:space="0"/>
              <w:right w:val="single" w:color="auto" w:sz="4" w:space="0"/>
            </w:tcBorders>
            <w:shd w:val="clear" w:color="auto" w:fill="auto"/>
            <w:vAlign w:val="center"/>
          </w:tcPr>
          <w:p w14:paraId="2246E6A6">
            <w:pPr>
              <w:jc w:val="center"/>
              <w:rPr>
                <w:rFonts w:hint="default" w:ascii="仿宋_GB2312" w:hAnsi="仿宋_GB2312" w:eastAsia="仿宋_GB2312" w:cs="仿宋_GB2312"/>
                <w:kern w:val="0"/>
                <w:sz w:val="24"/>
                <w:szCs w:val="24"/>
                <w:lang w:val="en-US" w:eastAsia="zh-CN"/>
              </w:rPr>
            </w:pPr>
          </w:p>
        </w:tc>
      </w:tr>
    </w:tbl>
    <w:p w14:paraId="19FC6ACC">
      <w:pPr>
        <w:pStyle w:val="2"/>
        <w:rPr>
          <w:rFonts w:hint="eastAsia"/>
        </w:rPr>
      </w:pPr>
    </w:p>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02BB19FC-BABA-43BE-8C30-B317B8E1BD39}"/>
  </w:font>
  <w:font w:name="仿宋">
    <w:panose1 w:val="02010609060101010101"/>
    <w:charset w:val="86"/>
    <w:family w:val="modern"/>
    <w:pitch w:val="default"/>
    <w:sig w:usb0="800002BF" w:usb1="38CF7CFA" w:usb2="00000016" w:usb3="00000000" w:csb0="00040001" w:csb1="00000000"/>
    <w:embedRegular r:id="rId2" w:fontKey="{43289C08-867C-4CBD-8400-1A998697382C}"/>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embedRegular r:id="rId3" w:fontKey="{8DCE2754-18C6-4B3D-BD14-6AC4C8C87632}"/>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embedRegular r:id="rId4" w:fontKey="{7C6FF7EC-DCC2-4DE6-A63E-6F4003259698}"/>
  </w:font>
  <w:font w:name="Wingdings 2">
    <w:panose1 w:val="05020102010507070707"/>
    <w:charset w:val="02"/>
    <w:family w:val="roman"/>
    <w:pitch w:val="default"/>
    <w:sig w:usb0="00000000" w:usb1="00000000" w:usb2="00000000" w:usb3="00000000" w:csb0="80000000" w:csb1="00000000"/>
    <w:embedRegular r:id="rId5" w:fontKey="{23BB37A5-3468-4365-9C24-19FDB7AFD968}"/>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A8370">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128FB720">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128FB720">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lZjBhYjgwM2QwZjAxMTU1M2Y5OTZiN2VjMzk4ZDIifQ=="/>
  </w:docVars>
  <w:rsids>
    <w:rsidRoot w:val="00172A27"/>
    <w:rsid w:val="0000165E"/>
    <w:rsid w:val="000021FA"/>
    <w:rsid w:val="00004E2A"/>
    <w:rsid w:val="00010735"/>
    <w:rsid w:val="0002699B"/>
    <w:rsid w:val="00037AF8"/>
    <w:rsid w:val="00052D6C"/>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72A27"/>
    <w:rsid w:val="00177A11"/>
    <w:rsid w:val="00190A83"/>
    <w:rsid w:val="001A432E"/>
    <w:rsid w:val="001A4A4E"/>
    <w:rsid w:val="001C2622"/>
    <w:rsid w:val="001C2C43"/>
    <w:rsid w:val="001C3556"/>
    <w:rsid w:val="001C3765"/>
    <w:rsid w:val="001F5409"/>
    <w:rsid w:val="00223748"/>
    <w:rsid w:val="002255DD"/>
    <w:rsid w:val="002300A9"/>
    <w:rsid w:val="002440DD"/>
    <w:rsid w:val="002576A6"/>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B168E"/>
    <w:rsid w:val="004D0238"/>
    <w:rsid w:val="004E1B06"/>
    <w:rsid w:val="004E5245"/>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A5E68"/>
    <w:rsid w:val="006B1BC6"/>
    <w:rsid w:val="006B3EC7"/>
    <w:rsid w:val="006B43F1"/>
    <w:rsid w:val="006D0C8E"/>
    <w:rsid w:val="006D3184"/>
    <w:rsid w:val="006D7404"/>
    <w:rsid w:val="006E2937"/>
    <w:rsid w:val="006E2AE3"/>
    <w:rsid w:val="00704A60"/>
    <w:rsid w:val="007055FF"/>
    <w:rsid w:val="00706EA3"/>
    <w:rsid w:val="00714279"/>
    <w:rsid w:val="00716866"/>
    <w:rsid w:val="00726DAA"/>
    <w:rsid w:val="00736D06"/>
    <w:rsid w:val="00740187"/>
    <w:rsid w:val="00740880"/>
    <w:rsid w:val="00740DCE"/>
    <w:rsid w:val="00742196"/>
    <w:rsid w:val="00742957"/>
    <w:rsid w:val="0074513B"/>
    <w:rsid w:val="00752F14"/>
    <w:rsid w:val="00762561"/>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D0540"/>
    <w:rsid w:val="009E26D9"/>
    <w:rsid w:val="009F3A2A"/>
    <w:rsid w:val="009F3D48"/>
    <w:rsid w:val="009F432F"/>
    <w:rsid w:val="009F5603"/>
    <w:rsid w:val="00A02C85"/>
    <w:rsid w:val="00A20F33"/>
    <w:rsid w:val="00A21DD6"/>
    <w:rsid w:val="00A2707A"/>
    <w:rsid w:val="00A546D4"/>
    <w:rsid w:val="00A54A3C"/>
    <w:rsid w:val="00A55F9E"/>
    <w:rsid w:val="00A61F35"/>
    <w:rsid w:val="00A72DF5"/>
    <w:rsid w:val="00A85A38"/>
    <w:rsid w:val="00A878C8"/>
    <w:rsid w:val="00A91885"/>
    <w:rsid w:val="00A964EF"/>
    <w:rsid w:val="00A97A0A"/>
    <w:rsid w:val="00AA0DC8"/>
    <w:rsid w:val="00AB5D12"/>
    <w:rsid w:val="00AD0A57"/>
    <w:rsid w:val="00AD0B86"/>
    <w:rsid w:val="00AD60E8"/>
    <w:rsid w:val="00AF1E04"/>
    <w:rsid w:val="00AF2CF2"/>
    <w:rsid w:val="00AF4963"/>
    <w:rsid w:val="00AF5A89"/>
    <w:rsid w:val="00B22643"/>
    <w:rsid w:val="00B26B8C"/>
    <w:rsid w:val="00B322C1"/>
    <w:rsid w:val="00B37E13"/>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4D20"/>
    <w:rsid w:val="00EF05FA"/>
    <w:rsid w:val="00F056DA"/>
    <w:rsid w:val="00F20DF5"/>
    <w:rsid w:val="00F33493"/>
    <w:rsid w:val="00F52A8D"/>
    <w:rsid w:val="00F53F14"/>
    <w:rsid w:val="00F63130"/>
    <w:rsid w:val="00F6578A"/>
    <w:rsid w:val="00F70F5E"/>
    <w:rsid w:val="00F71EEE"/>
    <w:rsid w:val="00F726D9"/>
    <w:rsid w:val="00F83F5D"/>
    <w:rsid w:val="00F94AB8"/>
    <w:rsid w:val="00FA25BF"/>
    <w:rsid w:val="00FA4332"/>
    <w:rsid w:val="00FA7617"/>
    <w:rsid w:val="00FB0537"/>
    <w:rsid w:val="00FB5430"/>
    <w:rsid w:val="00FC4A25"/>
    <w:rsid w:val="00FE5212"/>
    <w:rsid w:val="00FF0E2D"/>
    <w:rsid w:val="01F114A6"/>
    <w:rsid w:val="02C5CCB7"/>
    <w:rsid w:val="02CB0A0A"/>
    <w:rsid w:val="04201EC0"/>
    <w:rsid w:val="05223B76"/>
    <w:rsid w:val="054A784B"/>
    <w:rsid w:val="057522D4"/>
    <w:rsid w:val="06986394"/>
    <w:rsid w:val="070FF518"/>
    <w:rsid w:val="0774295E"/>
    <w:rsid w:val="09DC163D"/>
    <w:rsid w:val="0A636732"/>
    <w:rsid w:val="0A85669C"/>
    <w:rsid w:val="0AF53DB5"/>
    <w:rsid w:val="0B236729"/>
    <w:rsid w:val="0C373769"/>
    <w:rsid w:val="0C753EB6"/>
    <w:rsid w:val="0E517B9F"/>
    <w:rsid w:val="10754FBC"/>
    <w:rsid w:val="11B20A9E"/>
    <w:rsid w:val="14C57BD3"/>
    <w:rsid w:val="14DB226E"/>
    <w:rsid w:val="164D0F49"/>
    <w:rsid w:val="174A2BA6"/>
    <w:rsid w:val="192760B3"/>
    <w:rsid w:val="1A16195D"/>
    <w:rsid w:val="1A976858"/>
    <w:rsid w:val="1B5D3A44"/>
    <w:rsid w:val="1DAC0C4B"/>
    <w:rsid w:val="1DB3BDD9"/>
    <w:rsid w:val="1ED17600"/>
    <w:rsid w:val="1EEF4B70"/>
    <w:rsid w:val="20B85440"/>
    <w:rsid w:val="20B95576"/>
    <w:rsid w:val="212C2C82"/>
    <w:rsid w:val="227B464E"/>
    <w:rsid w:val="22DE013F"/>
    <w:rsid w:val="231E4B10"/>
    <w:rsid w:val="23226CC1"/>
    <w:rsid w:val="23AE58BE"/>
    <w:rsid w:val="23BD70CF"/>
    <w:rsid w:val="23CB5BA3"/>
    <w:rsid w:val="23E858E6"/>
    <w:rsid w:val="26DB7EAB"/>
    <w:rsid w:val="28472F88"/>
    <w:rsid w:val="29323A24"/>
    <w:rsid w:val="29491A44"/>
    <w:rsid w:val="29995DFC"/>
    <w:rsid w:val="2AD6748B"/>
    <w:rsid w:val="2C570682"/>
    <w:rsid w:val="2CB0732E"/>
    <w:rsid w:val="2F2919D0"/>
    <w:rsid w:val="2FA01113"/>
    <w:rsid w:val="31B61C41"/>
    <w:rsid w:val="32987C10"/>
    <w:rsid w:val="33013899"/>
    <w:rsid w:val="331971C9"/>
    <w:rsid w:val="334671FF"/>
    <w:rsid w:val="33FE167D"/>
    <w:rsid w:val="36F34D9D"/>
    <w:rsid w:val="375A1547"/>
    <w:rsid w:val="37FF5F14"/>
    <w:rsid w:val="381E4C82"/>
    <w:rsid w:val="387C3B96"/>
    <w:rsid w:val="3933358B"/>
    <w:rsid w:val="39D23390"/>
    <w:rsid w:val="3A173499"/>
    <w:rsid w:val="3A9EFFCE"/>
    <w:rsid w:val="3BD6517D"/>
    <w:rsid w:val="3C1A7D84"/>
    <w:rsid w:val="3C431B90"/>
    <w:rsid w:val="3D1C55C2"/>
    <w:rsid w:val="3E5A7DF8"/>
    <w:rsid w:val="41FE0D2A"/>
    <w:rsid w:val="42360234"/>
    <w:rsid w:val="4248149B"/>
    <w:rsid w:val="43397FDC"/>
    <w:rsid w:val="434F2582"/>
    <w:rsid w:val="43E837B0"/>
    <w:rsid w:val="442944F4"/>
    <w:rsid w:val="443469F5"/>
    <w:rsid w:val="44606CD8"/>
    <w:rsid w:val="44D56131"/>
    <w:rsid w:val="46653894"/>
    <w:rsid w:val="47242D51"/>
    <w:rsid w:val="473E165D"/>
    <w:rsid w:val="487D1F30"/>
    <w:rsid w:val="48E82276"/>
    <w:rsid w:val="4961356F"/>
    <w:rsid w:val="4973551B"/>
    <w:rsid w:val="4A144D30"/>
    <w:rsid w:val="4A3F571D"/>
    <w:rsid w:val="4A4C2CEB"/>
    <w:rsid w:val="4B3043BA"/>
    <w:rsid w:val="4C26230B"/>
    <w:rsid w:val="4D4E6532"/>
    <w:rsid w:val="4E416104"/>
    <w:rsid w:val="4F980780"/>
    <w:rsid w:val="517FE114"/>
    <w:rsid w:val="51E02228"/>
    <w:rsid w:val="524530D8"/>
    <w:rsid w:val="52A042A5"/>
    <w:rsid w:val="533633E9"/>
    <w:rsid w:val="565847C5"/>
    <w:rsid w:val="569D6333"/>
    <w:rsid w:val="56EFD299"/>
    <w:rsid w:val="56F3FCF0"/>
    <w:rsid w:val="57F16FC2"/>
    <w:rsid w:val="58995EAE"/>
    <w:rsid w:val="5A1A070F"/>
    <w:rsid w:val="5A305377"/>
    <w:rsid w:val="5BFFB320"/>
    <w:rsid w:val="5E0019CA"/>
    <w:rsid w:val="5EB545FA"/>
    <w:rsid w:val="62D6033B"/>
    <w:rsid w:val="62D91739"/>
    <w:rsid w:val="62E0081A"/>
    <w:rsid w:val="63F50BFD"/>
    <w:rsid w:val="64FD4BAB"/>
    <w:rsid w:val="6588162A"/>
    <w:rsid w:val="668D599C"/>
    <w:rsid w:val="669730E8"/>
    <w:rsid w:val="67145666"/>
    <w:rsid w:val="67460A40"/>
    <w:rsid w:val="67DD55E5"/>
    <w:rsid w:val="6846773F"/>
    <w:rsid w:val="68B35298"/>
    <w:rsid w:val="68BB23A7"/>
    <w:rsid w:val="69472BA3"/>
    <w:rsid w:val="6A7259FE"/>
    <w:rsid w:val="6AE74701"/>
    <w:rsid w:val="6E63643B"/>
    <w:rsid w:val="6EF95004"/>
    <w:rsid w:val="70D2369A"/>
    <w:rsid w:val="71E82A49"/>
    <w:rsid w:val="7232529F"/>
    <w:rsid w:val="72872F89"/>
    <w:rsid w:val="73BD5D86"/>
    <w:rsid w:val="769211D6"/>
    <w:rsid w:val="76C463FC"/>
    <w:rsid w:val="775546DD"/>
    <w:rsid w:val="777849C9"/>
    <w:rsid w:val="77CF7617"/>
    <w:rsid w:val="7B364826"/>
    <w:rsid w:val="7C217926"/>
    <w:rsid w:val="7CBFAA9E"/>
    <w:rsid w:val="7D42050F"/>
    <w:rsid w:val="7D7BAA82"/>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 w:cs="Calibri"/>
      <w:kern w:val="2"/>
      <w:sz w:val="28"/>
      <w:szCs w:val="21"/>
      <w:lang w:val="en-US" w:eastAsia="zh-CN" w:bidi="ar-SA"/>
    </w:rPr>
  </w:style>
  <w:style w:type="paragraph" w:styleId="3">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4">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3"/>
    <w:unhideWhenUsed/>
    <w:qFormat/>
    <w:uiPriority w:val="99"/>
    <w:rPr>
      <w:rFonts w:eastAsia="宋体"/>
      <w:sz w:val="30"/>
      <w:szCs w:val="30"/>
    </w:rPr>
  </w:style>
  <w:style w:type="paragraph" w:styleId="5">
    <w:name w:val="Normal Indent"/>
    <w:basedOn w:val="1"/>
    <w:link w:val="37"/>
    <w:qFormat/>
    <w:uiPriority w:val="0"/>
    <w:pPr>
      <w:ind w:firstLine="420" w:firstLineChars="200"/>
    </w:pPr>
    <w:rPr>
      <w:rFonts w:ascii="Times New Roman" w:hAnsi="Times New Roman" w:eastAsia="宋体" w:cs="黑体"/>
      <w:sz w:val="21"/>
      <w:szCs w:val="24"/>
    </w:rPr>
  </w:style>
  <w:style w:type="paragraph" w:styleId="6">
    <w:name w:val="caption"/>
    <w:basedOn w:val="1"/>
    <w:next w:val="1"/>
    <w:qFormat/>
    <w:uiPriority w:val="35"/>
    <w:rPr>
      <w:rFonts w:ascii="等线 Light" w:hAnsi="等线 Light" w:eastAsia="黑体" w:cs="Times New Roman"/>
      <w:sz w:val="20"/>
      <w:szCs w:val="20"/>
    </w:rPr>
  </w:style>
  <w:style w:type="paragraph" w:styleId="7">
    <w:name w:val="annotation text"/>
    <w:basedOn w:val="1"/>
    <w:link w:val="32"/>
    <w:unhideWhenUsed/>
    <w:qFormat/>
    <w:uiPriority w:val="99"/>
    <w:pPr>
      <w:jc w:val="left"/>
    </w:p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7"/>
    <w:next w:val="7"/>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3"/>
    <w:qFormat/>
    <w:uiPriority w:val="0"/>
    <w:rPr>
      <w:rFonts w:ascii="Times New Roman" w:hAnsi="Times New Roman" w:eastAsia="黑体" w:cs="Times New Roman"/>
      <w:kern w:val="44"/>
      <w:sz w:val="20"/>
      <w:szCs w:val="20"/>
    </w:rPr>
  </w:style>
  <w:style w:type="character" w:customStyle="1" w:styleId="31">
    <w:name w:val="标题 2 字符"/>
    <w:basedOn w:val="16"/>
    <w:link w:val="4"/>
    <w:qFormat/>
    <w:uiPriority w:val="9"/>
    <w:rPr>
      <w:rFonts w:ascii="楷体" w:hAnsi="楷体" w:eastAsia="楷体" w:cs="Times New Roman"/>
      <w:sz w:val="28"/>
      <w:szCs w:val="28"/>
    </w:rPr>
  </w:style>
  <w:style w:type="character" w:customStyle="1" w:styleId="32">
    <w:name w:val="批注文字 字符"/>
    <w:link w:val="7"/>
    <w:qFormat/>
    <w:uiPriority w:val="99"/>
    <w:rPr>
      <w:rFonts w:ascii="Calibri" w:hAnsi="Calibri" w:eastAsia="仿宋" w:cs="Calibri"/>
      <w:sz w:val="28"/>
      <w:szCs w:val="21"/>
    </w:rPr>
  </w:style>
  <w:style w:type="character" w:customStyle="1" w:styleId="33">
    <w:name w:val="正文文本 字符"/>
    <w:link w:val="2"/>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5"/>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 w:type="paragraph" w:customStyle="1" w:styleId="51">
    <w:name w:val="Revision"/>
    <w:hidden/>
    <w:unhideWhenUsed/>
    <w:qFormat/>
    <w:uiPriority w:val="99"/>
    <w:rPr>
      <w:rFonts w:ascii="Calibri" w:hAnsi="Calibri" w:eastAsia="仿宋" w:cs="Calibri"/>
      <w:kern w:val="2"/>
      <w:sz w:val="28"/>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22</Pages>
  <Words>984</Words>
  <Characters>1024</Characters>
  <Lines>140</Lines>
  <Paragraphs>39</Paragraphs>
  <TotalTime>23</TotalTime>
  <ScaleCrop>false</ScaleCrop>
  <LinksUpToDate>false</LinksUpToDate>
  <CharactersWithSpaces>1025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2025-03-10T05:23:00Z</dcterms:created>
  <dc:creator>qu yan</dc:creator>
  <cp:lastModifiedBy>Jin Chou</cp:lastModifiedBy>
  <cp:lastPrinted>2022-10-21T04:00:00Z</cp:lastPrinted>
  <dcterms:modified xsi:type="dcterms:W3CDTF">2025-07-29T02:40:53Z</dcterms:modified>
  <dc:title>广东省产业集群工业互联数字化转型试点</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6C04C1A45DF24452913079337E6596D5_13</vt:lpwstr>
  </property>
  <property fmtid="{D5CDD505-2E9C-101B-9397-08002B2CF9AE}" pid="4" name="KSOTemplateDocerSaveRecord">
    <vt:lpwstr>eyJoZGlkIjoiOGEwYTkwZDczMDVlMzEzYzI4MjgxZWQ4MWEzNDJkOGUiLCJ1c2VySWQiOiIxMDIyMjA0NTAwIn0=</vt:lpwstr>
  </property>
</Properties>
</file>