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8617E">
      <w:pPr>
        <w:widowControl/>
        <w:jc w:val="center"/>
        <w:rPr>
          <w:rFonts w:hint="eastAsia" w:ascii="仿宋_GB2312" w:hAnsi="仿宋_GB2312" w:eastAsia="仿宋_GB2312" w:cs="仿宋_GB2312"/>
          <w:spacing w:val="-6"/>
          <w:sz w:val="32"/>
          <w:szCs w:val="32"/>
        </w:rPr>
      </w:pPr>
      <w:r>
        <w:rPr>
          <w:rFonts w:hint="eastAsia" w:ascii="仿宋_GB2312" w:hAnsi="仿宋_GB2312" w:eastAsia="仿宋_GB2312" w:cs="仿宋_GB2312"/>
          <w:sz w:val="44"/>
          <w:szCs w:val="44"/>
        </w:rPr>
        <w:t>佛山市中小企业数字化转型城市试点、佛山市产业集群数字化转型项目数字化牵引单位产品清单</w:t>
      </w:r>
    </w:p>
    <w:p w14:paraId="1E7C4060">
      <w:pPr>
        <w:spacing w:line="560" w:lineRule="exact"/>
        <w:jc w:val="center"/>
        <w:rPr>
          <w:rFonts w:hint="eastAsia" w:ascii="仿宋_GB2312" w:hAnsi="仿宋_GB2312" w:eastAsia="仿宋_GB2312" w:cs="仿宋_GB2312"/>
          <w:sz w:val="44"/>
          <w:szCs w:val="44"/>
          <w:lang w:eastAsia="zh-CN"/>
        </w:rPr>
      </w:pPr>
      <w:r>
        <w:rPr>
          <w:rFonts w:hint="eastAsia" w:ascii="仿宋_GB2312" w:hAnsi="仿宋_GB2312" w:eastAsia="仿宋_GB2312" w:cs="仿宋_GB2312"/>
          <w:sz w:val="44"/>
          <w:szCs w:val="44"/>
          <w:lang w:eastAsia="zh-CN"/>
        </w:rPr>
        <w:t>（</w:t>
      </w:r>
      <w:r>
        <w:rPr>
          <w:rFonts w:hint="eastAsia" w:ascii="仿宋_GB2312" w:hAnsi="仿宋_GB2312" w:eastAsia="仿宋_GB2312" w:cs="仿宋_GB2312"/>
          <w:sz w:val="44"/>
          <w:szCs w:val="44"/>
        </w:rPr>
        <w:t>数字化牵引单位：广东腾一科技有限公司</w:t>
      </w:r>
      <w:r>
        <w:rPr>
          <w:rFonts w:hint="eastAsia" w:ascii="仿宋_GB2312" w:hAnsi="仿宋_GB2312" w:eastAsia="仿宋_GB2312" w:cs="仿宋_GB2312"/>
          <w:sz w:val="44"/>
          <w:szCs w:val="44"/>
          <w:lang w:eastAsia="zh-CN"/>
        </w:rPr>
        <w:t>）</w:t>
      </w:r>
    </w:p>
    <w:p w14:paraId="117A55A2">
      <w:pPr>
        <w:spacing w:line="560" w:lineRule="exact"/>
        <w:rPr>
          <w:rFonts w:hint="eastAsia" w:ascii="方正小标宋简体" w:hAnsi="方正小标宋简体" w:eastAsia="方正小标宋简体" w:cs="方正小标宋简体"/>
          <w:sz w:val="44"/>
          <w:szCs w:val="44"/>
          <w:lang w:eastAsia="zh-CN"/>
        </w:rPr>
      </w:pPr>
    </w:p>
    <w:p w14:paraId="21150440">
      <w:pPr>
        <w:spacing w:line="560" w:lineRule="exact"/>
        <w:rPr>
          <w:rFonts w:hint="eastAsia" w:ascii="仿宋_GB2312" w:hAnsi="仿宋_GB2312" w:eastAsia="仿宋_GB2312" w:cs="仿宋_GB2312"/>
          <w:bCs/>
          <w:szCs w:val="28"/>
          <w:lang w:eastAsia="zh-CN"/>
        </w:rPr>
      </w:pPr>
      <w:r>
        <w:rPr>
          <w:rFonts w:hint="eastAsia" w:ascii="仿宋_GB2312" w:hAnsi="仿宋_GB2312" w:eastAsia="仿宋_GB2312" w:cs="仿宋_GB2312"/>
          <w:bCs/>
          <w:sz w:val="32"/>
          <w:szCs w:val="32"/>
        </w:rPr>
        <w:t>（一）联合体成员：</w:t>
      </w:r>
      <w:r>
        <w:rPr>
          <w:rFonts w:hint="eastAsia" w:ascii="仿宋_GB2312" w:hAnsi="仿宋_GB2312" w:eastAsia="仿宋_GB2312" w:cs="仿宋_GB2312"/>
          <w:bCs/>
          <w:szCs w:val="28"/>
        </w:rPr>
        <w:t>广东腾一科技有限公司/中国联合网络通信有限公司佛山市分公司</w:t>
      </w:r>
    </w:p>
    <w:tbl>
      <w:tblPr>
        <w:tblStyle w:val="14"/>
        <w:tblW w:w="0" w:type="auto"/>
        <w:tblInd w:w="113" w:type="dxa"/>
        <w:tblLayout w:type="autofit"/>
        <w:tblCellMar>
          <w:top w:w="0" w:type="dxa"/>
          <w:left w:w="108" w:type="dxa"/>
          <w:bottom w:w="0" w:type="dxa"/>
          <w:right w:w="108" w:type="dxa"/>
        </w:tblCellMar>
      </w:tblPr>
      <w:tblGrid>
        <w:gridCol w:w="715"/>
        <w:gridCol w:w="1602"/>
        <w:gridCol w:w="2613"/>
        <w:gridCol w:w="4092"/>
        <w:gridCol w:w="2043"/>
        <w:gridCol w:w="2850"/>
      </w:tblGrid>
      <w:tr w14:paraId="5AAFC2D6">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3E50C86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602" w:type="dxa"/>
            <w:tcBorders>
              <w:top w:val="single" w:color="auto" w:sz="4" w:space="0"/>
              <w:left w:val="nil"/>
              <w:bottom w:val="single" w:color="auto" w:sz="4" w:space="0"/>
              <w:right w:val="single" w:color="auto" w:sz="4" w:space="0"/>
            </w:tcBorders>
            <w:shd w:val="clear" w:color="auto" w:fill="auto"/>
            <w:vAlign w:val="center"/>
          </w:tcPr>
          <w:p w14:paraId="3C24921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613" w:type="dxa"/>
            <w:tcBorders>
              <w:top w:val="single" w:color="auto" w:sz="4" w:space="0"/>
              <w:left w:val="nil"/>
              <w:bottom w:val="single" w:color="auto" w:sz="4" w:space="0"/>
              <w:right w:val="single" w:color="auto" w:sz="4" w:space="0"/>
            </w:tcBorders>
            <w:shd w:val="clear" w:color="auto" w:fill="auto"/>
            <w:vAlign w:val="center"/>
          </w:tcPr>
          <w:p w14:paraId="620436F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092" w:type="dxa"/>
            <w:tcBorders>
              <w:top w:val="single" w:color="auto" w:sz="4" w:space="0"/>
              <w:left w:val="nil"/>
              <w:bottom w:val="single" w:color="auto" w:sz="4" w:space="0"/>
              <w:right w:val="single" w:color="auto" w:sz="4" w:space="0"/>
            </w:tcBorders>
            <w:shd w:val="clear" w:color="auto" w:fill="auto"/>
            <w:vAlign w:val="center"/>
          </w:tcPr>
          <w:p w14:paraId="56BE9D8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043" w:type="dxa"/>
            <w:tcBorders>
              <w:top w:val="single" w:color="auto" w:sz="4" w:space="0"/>
              <w:left w:val="nil"/>
              <w:bottom w:val="single" w:color="auto" w:sz="4" w:space="0"/>
              <w:right w:val="single" w:color="auto" w:sz="4" w:space="0"/>
            </w:tcBorders>
            <w:shd w:val="clear" w:color="auto" w:fill="auto"/>
            <w:vAlign w:val="center"/>
          </w:tcPr>
          <w:p w14:paraId="69AEAD38">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850" w:type="dxa"/>
            <w:tcBorders>
              <w:top w:val="single" w:color="auto" w:sz="4" w:space="0"/>
              <w:left w:val="nil"/>
              <w:bottom w:val="single" w:color="auto" w:sz="4" w:space="0"/>
              <w:right w:val="single" w:color="auto" w:sz="4" w:space="0"/>
            </w:tcBorders>
            <w:shd w:val="clear" w:color="auto" w:fill="auto"/>
            <w:vAlign w:val="center"/>
          </w:tcPr>
          <w:p w14:paraId="6D38215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66F6863E">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23D26309">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592E1B3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腾一制造执行管理软件(mes)v3.0</w:t>
            </w:r>
          </w:p>
        </w:tc>
        <w:tc>
          <w:tcPr>
            <w:tcW w:w="2613" w:type="dxa"/>
            <w:tcBorders>
              <w:top w:val="single" w:color="auto" w:sz="4" w:space="0"/>
              <w:left w:val="nil"/>
              <w:bottom w:val="single" w:color="auto" w:sz="4" w:space="0"/>
              <w:right w:val="single" w:color="auto" w:sz="4" w:space="0"/>
            </w:tcBorders>
            <w:shd w:val="clear" w:color="auto" w:fill="auto"/>
            <w:vAlign w:val="center"/>
          </w:tcPr>
          <w:p w14:paraId="58D63F94">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包含工厂建模、产品工艺、生产派工管理、现场多终端报工、产品产能采集分析、质量管控、决策支持、设备管理、设备数据集成、模具管理、车间绩效、在制品管理、报表自定义设置等功能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2E51F89E">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解决以下主要痛点问题：排产对车间产能负荷情况不直观，无法合理安排生产；传统手工写单模式、花费人力成本录入系统或者表格进行统计；统计数据不及时，无法实时了解车间现场执行情况；流程管控困难，管理要求无法落实，没有数据反馈流程是否执行到位；车间绩效数据无法透明，无法保证奖惩有数据支撑。</w:t>
            </w:r>
          </w:p>
        </w:tc>
        <w:tc>
          <w:tcPr>
            <w:tcW w:w="2043" w:type="dxa"/>
            <w:tcBorders>
              <w:top w:val="single" w:color="auto" w:sz="4" w:space="0"/>
              <w:left w:val="nil"/>
              <w:bottom w:val="single" w:color="auto" w:sz="4" w:space="0"/>
              <w:right w:val="single" w:color="auto" w:sz="4" w:space="0"/>
            </w:tcBorders>
            <w:shd w:val="clear" w:color="auto" w:fill="auto"/>
            <w:vAlign w:val="center"/>
          </w:tcPr>
          <w:p w14:paraId="19BB95CD">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60万元-200万元/套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4C6E8920">
            <w:pPr>
              <w:widowControl/>
              <w:jc w:val="left"/>
              <w:textAlignment w:val="center"/>
              <w:rPr>
                <w:rFonts w:hint="eastAsia" w:ascii="仿宋_GB2312" w:hAnsi="仿宋_GB2312" w:eastAsia="仿宋_GB2312" w:cs="仿宋_GB2312"/>
                <w:kern w:val="0"/>
                <w:sz w:val="24"/>
                <w:szCs w:val="24"/>
              </w:rPr>
            </w:pPr>
          </w:p>
        </w:tc>
      </w:tr>
      <w:tr w14:paraId="3BD30831">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A88DA02">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0F203E45">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腾一MES云平台软件V1.0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630191BD">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包含租主管理、进销存、工厂建模、产品工艺、车间小程序、品质报表、车间绩效等功能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4E40F419">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解决企业管理流程简单，对于复杂系统匹配难度高；缺少专业IT团队对服务器、数据安全性进行统一管理；没有生产流程管控的成功经验或者思路，没有成熟的流程；管理者异地办公同时无法了解车间的生产进度、质量等状况；</w:t>
            </w:r>
          </w:p>
        </w:tc>
        <w:tc>
          <w:tcPr>
            <w:tcW w:w="2043" w:type="dxa"/>
            <w:tcBorders>
              <w:top w:val="single" w:color="auto" w:sz="4" w:space="0"/>
              <w:left w:val="nil"/>
              <w:bottom w:val="single" w:color="auto" w:sz="4" w:space="0"/>
              <w:right w:val="single" w:color="auto" w:sz="4" w:space="0"/>
            </w:tcBorders>
            <w:shd w:val="clear" w:color="auto" w:fill="auto"/>
            <w:vAlign w:val="center"/>
          </w:tcPr>
          <w:p w14:paraId="2CE14743">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30万元-60万元/套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5977A98F">
            <w:pPr>
              <w:widowControl/>
              <w:jc w:val="left"/>
              <w:textAlignment w:val="center"/>
              <w:rPr>
                <w:rFonts w:hint="eastAsia" w:ascii="仿宋_GB2312" w:hAnsi="仿宋_GB2312" w:eastAsia="仿宋_GB2312" w:cs="仿宋_GB2312"/>
                <w:kern w:val="0"/>
                <w:sz w:val="24"/>
                <w:szCs w:val="24"/>
              </w:rPr>
            </w:pPr>
          </w:p>
        </w:tc>
      </w:tr>
      <w:tr w14:paraId="1347BB3F">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29EE184B">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2E26BC9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腾一智能排单管理软件V2.0</w:t>
            </w:r>
          </w:p>
        </w:tc>
        <w:tc>
          <w:tcPr>
            <w:tcW w:w="2613" w:type="dxa"/>
            <w:tcBorders>
              <w:top w:val="single" w:color="auto" w:sz="4" w:space="0"/>
              <w:left w:val="nil"/>
              <w:bottom w:val="single" w:color="auto" w:sz="4" w:space="0"/>
              <w:right w:val="single" w:color="auto" w:sz="4" w:space="0"/>
            </w:tcBorders>
            <w:shd w:val="clear" w:color="auto" w:fill="auto"/>
            <w:vAlign w:val="center"/>
          </w:tcPr>
          <w:p w14:paraId="1F1D509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包含工厂建模、产品工艺、资源管理、标准日历、日历工时、资源工时日历、设备台账、设备工时日历、排单策略规则设置、排产运算、结果调整、负荷分析等功能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42AA382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解决企业对于排产依赖人为经验；对人为性排产结果的准确性、合理性、负荷情况无法准确预测，只能生产过程出现异常进行调整；企业的生产过程对消息获取不及时，当对情况有所了解后，没法快速响应事件对计划进行重排；</w:t>
            </w:r>
          </w:p>
        </w:tc>
        <w:tc>
          <w:tcPr>
            <w:tcW w:w="2043" w:type="dxa"/>
            <w:tcBorders>
              <w:top w:val="single" w:color="auto" w:sz="4" w:space="0"/>
              <w:left w:val="nil"/>
              <w:bottom w:val="single" w:color="auto" w:sz="4" w:space="0"/>
              <w:right w:val="single" w:color="auto" w:sz="4" w:space="0"/>
            </w:tcBorders>
            <w:shd w:val="clear" w:color="auto" w:fill="auto"/>
            <w:vAlign w:val="center"/>
          </w:tcPr>
          <w:p w14:paraId="173914F3">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30万元-80万元/套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03E56D85">
            <w:pPr>
              <w:widowControl/>
              <w:jc w:val="left"/>
              <w:textAlignment w:val="center"/>
              <w:rPr>
                <w:rFonts w:hint="eastAsia" w:ascii="仿宋_GB2312" w:hAnsi="仿宋_GB2312" w:eastAsia="仿宋_GB2312" w:cs="仿宋_GB2312"/>
                <w:kern w:val="0"/>
                <w:sz w:val="24"/>
                <w:szCs w:val="24"/>
              </w:rPr>
            </w:pPr>
          </w:p>
        </w:tc>
      </w:tr>
      <w:tr w14:paraId="2BDE95DA">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41E71C34">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5A31D93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腾一WMS云平台V1.0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456638FE">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包含工厂建模、仓库信息、库存信息、仓单仓库类型、条码规则、批次库存信息、PDA出库管理、PDA入库管理、PDA信息导航、拣选分单规则、拣选先进先出、库龄呆滞物料分析、月均消耗率库存综合对比等功能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7DA53C5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解决仓库管理靠传统仓账卡记录；过分依赖仓管员的经验；仓库资源独立性高，资源无法共用；无法有效控制先进先出；仓管员的操作没有有效指引，效率低下；没有批次级管控，无法进行质量追溯问题；提高库存准确率；降低库存成本</w:t>
            </w:r>
          </w:p>
        </w:tc>
        <w:tc>
          <w:tcPr>
            <w:tcW w:w="2043" w:type="dxa"/>
            <w:tcBorders>
              <w:top w:val="single" w:color="auto" w:sz="4" w:space="0"/>
              <w:left w:val="nil"/>
              <w:bottom w:val="single" w:color="auto" w:sz="4" w:space="0"/>
              <w:right w:val="single" w:color="auto" w:sz="4" w:space="0"/>
            </w:tcBorders>
            <w:shd w:val="clear" w:color="auto" w:fill="auto"/>
            <w:vAlign w:val="center"/>
          </w:tcPr>
          <w:p w14:paraId="4708CE2A">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30万元-60万元/套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37DA0523">
            <w:pPr>
              <w:widowControl/>
              <w:jc w:val="left"/>
              <w:textAlignment w:val="center"/>
              <w:rPr>
                <w:rFonts w:hint="eastAsia" w:ascii="仿宋_GB2312" w:hAnsi="仿宋_GB2312" w:eastAsia="仿宋_GB2312" w:cs="仿宋_GB2312"/>
                <w:kern w:val="0"/>
                <w:sz w:val="24"/>
                <w:szCs w:val="24"/>
              </w:rPr>
            </w:pPr>
          </w:p>
        </w:tc>
      </w:tr>
      <w:tr w14:paraId="291C99EA">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527A643">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2D22188E">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腾一飞龙MOM云平台V1.0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1014CC9E">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一体化MOM平台,包含工厂建模、仓库信息、库存信息、仓单仓库类型、条码规则、批次库存信息、PDA出库管理、PDA入库管理、PDA信息导航、拣选分单规则、拣选先进先出、库龄呆滞物料分析、月均消耗率库存综合对比、产品工艺、生产派工管理、车间小程序、品质报表、设备管理、车间绩效、模具管理、检验项目、检验不合格大类/小类/不良缺陷、质量检验方案、物料检验方案、工控机PC：首检、巡检、终检、始检、来料检验、质检报告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08FA7263">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飞龙MOM云平台含轻量级的ERP、SRM、MES、WMS、QMS、BI等系统，解决企业需要购买多方系统的困扰和整合难度，多系统之间的流程融合度低，容易出现连接管控断层，并且各系统对接成本高、难度大、失败率高；</w:t>
            </w:r>
          </w:p>
        </w:tc>
        <w:tc>
          <w:tcPr>
            <w:tcW w:w="2043" w:type="dxa"/>
            <w:tcBorders>
              <w:top w:val="single" w:color="auto" w:sz="4" w:space="0"/>
              <w:left w:val="nil"/>
              <w:bottom w:val="single" w:color="auto" w:sz="4" w:space="0"/>
              <w:right w:val="single" w:color="auto" w:sz="4" w:space="0"/>
            </w:tcBorders>
            <w:shd w:val="clear" w:color="auto" w:fill="auto"/>
            <w:vAlign w:val="center"/>
          </w:tcPr>
          <w:p w14:paraId="0B03012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60万元-260万元/套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0D50100F">
            <w:pPr>
              <w:widowControl/>
              <w:jc w:val="left"/>
              <w:textAlignment w:val="center"/>
              <w:rPr>
                <w:rFonts w:hint="eastAsia" w:ascii="仿宋_GB2312" w:hAnsi="仿宋_GB2312" w:eastAsia="仿宋_GB2312" w:cs="仿宋_GB2312"/>
                <w:kern w:val="0"/>
                <w:sz w:val="24"/>
                <w:szCs w:val="24"/>
              </w:rPr>
            </w:pPr>
          </w:p>
        </w:tc>
      </w:tr>
      <w:tr w14:paraId="4CB736BE">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4949797A">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22C62480">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腾一飞龙MOM平台BI软件V1.0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2672FA8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包含数据连接、SQL方案配置、BI看板配置、BI导航设置、BI模块组件配置、BI图形选项配置、底层查询过滤条件设置、联动设置等功能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2402A19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BI系统通过灵活的配置，可以跨不同系统的数据库链接及展示，可以解决企业存在多个系统，但仍然属于数据孤岛，数据无法共同产生价值；数据在后台无法直观呈现；企业已经产生的数据按照企业管理者需求进行调整数据呈现方式的成本高的问题；</w:t>
            </w:r>
          </w:p>
        </w:tc>
        <w:tc>
          <w:tcPr>
            <w:tcW w:w="2043" w:type="dxa"/>
            <w:tcBorders>
              <w:top w:val="single" w:color="auto" w:sz="4" w:space="0"/>
              <w:left w:val="nil"/>
              <w:bottom w:val="single" w:color="auto" w:sz="4" w:space="0"/>
              <w:right w:val="single" w:color="auto" w:sz="4" w:space="0"/>
            </w:tcBorders>
            <w:shd w:val="clear" w:color="auto" w:fill="auto"/>
            <w:vAlign w:val="center"/>
          </w:tcPr>
          <w:p w14:paraId="13FE7B7F">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3万元-20万元/套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24D475DB">
            <w:pPr>
              <w:widowControl/>
              <w:jc w:val="left"/>
              <w:textAlignment w:val="center"/>
              <w:rPr>
                <w:rFonts w:hint="eastAsia" w:ascii="仿宋_GB2312" w:hAnsi="仿宋_GB2312" w:eastAsia="仿宋_GB2312" w:cs="仿宋_GB2312"/>
                <w:kern w:val="0"/>
                <w:sz w:val="24"/>
                <w:szCs w:val="24"/>
              </w:rPr>
            </w:pPr>
          </w:p>
        </w:tc>
      </w:tr>
      <w:tr w14:paraId="75D106EE">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2BBBF715">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6502B539">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腾一质量管理系统V1.0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33EF2852">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包含工厂建模、产品工艺、检验项目、检验不合格大类/小类/不良缺陷、质量检验方案、物料检验方案、工控机PC：首检、巡检、终检、始检、来料检验、质检报告等功能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78EA98BE">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解决企业质检流程没有结合到生产流程进行管控，传统质检过程变为手工滞后数据；需要人工录入表格手工记录单据内容，人工成本高，准确性低，存在篡改的可能性；无法多维度快速统计出质量相关报表给决策者提升管理水平；</w:t>
            </w:r>
          </w:p>
        </w:tc>
        <w:tc>
          <w:tcPr>
            <w:tcW w:w="2043" w:type="dxa"/>
            <w:tcBorders>
              <w:top w:val="single" w:color="auto" w:sz="4" w:space="0"/>
              <w:left w:val="nil"/>
              <w:bottom w:val="single" w:color="auto" w:sz="4" w:space="0"/>
              <w:right w:val="single" w:color="auto" w:sz="4" w:space="0"/>
            </w:tcBorders>
            <w:shd w:val="clear" w:color="auto" w:fill="auto"/>
            <w:vAlign w:val="center"/>
          </w:tcPr>
          <w:p w14:paraId="5AF2B1C0">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15万元-40万元/套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2B99EEFD">
            <w:pPr>
              <w:widowControl/>
              <w:jc w:val="left"/>
              <w:textAlignment w:val="center"/>
              <w:rPr>
                <w:rFonts w:hint="eastAsia" w:ascii="仿宋_GB2312" w:hAnsi="仿宋_GB2312" w:eastAsia="仿宋_GB2312" w:cs="仿宋_GB2312"/>
                <w:kern w:val="0"/>
                <w:sz w:val="24"/>
                <w:szCs w:val="24"/>
              </w:rPr>
            </w:pPr>
          </w:p>
        </w:tc>
      </w:tr>
      <w:tr w14:paraId="6050FAA6">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6F03D909">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01AA22CA">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腾一E-SOP管理软件V2.0</w:t>
            </w:r>
          </w:p>
        </w:tc>
        <w:tc>
          <w:tcPr>
            <w:tcW w:w="2613" w:type="dxa"/>
            <w:tcBorders>
              <w:top w:val="single" w:color="auto" w:sz="4" w:space="0"/>
              <w:left w:val="nil"/>
              <w:bottom w:val="single" w:color="auto" w:sz="4" w:space="0"/>
              <w:right w:val="single" w:color="auto" w:sz="4" w:space="0"/>
            </w:tcBorders>
            <w:shd w:val="clear" w:color="auto" w:fill="auto"/>
            <w:vAlign w:val="center"/>
          </w:tcPr>
          <w:p w14:paraId="77053DE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包含文件类型、文件上传下载配置、文件操作记录、文件批量上传匹配、工控机等业务功能查看文件等功能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1F23B7CF">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解决企业对图纸的管控难度大，容易出现图纸版本管控失效导致生产事故；对图纸的引用效率低，通常一个订单需要耗费大量时间查找对应图纸资料；</w:t>
            </w:r>
          </w:p>
          <w:p w14:paraId="384F41C3">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传统图纸保管模式安全性低，与人员捆绑性高；</w:t>
            </w:r>
          </w:p>
          <w:p w14:paraId="539AAD35">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无法与外部进行互联；</w:t>
            </w:r>
          </w:p>
        </w:tc>
        <w:tc>
          <w:tcPr>
            <w:tcW w:w="2043" w:type="dxa"/>
            <w:tcBorders>
              <w:top w:val="single" w:color="auto" w:sz="4" w:space="0"/>
              <w:left w:val="nil"/>
              <w:bottom w:val="single" w:color="auto" w:sz="4" w:space="0"/>
              <w:right w:val="single" w:color="auto" w:sz="4" w:space="0"/>
            </w:tcBorders>
            <w:shd w:val="clear" w:color="auto" w:fill="auto"/>
            <w:vAlign w:val="center"/>
          </w:tcPr>
          <w:p w14:paraId="6FF39C26">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10万元-20万元/套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6FBA4C19">
            <w:pPr>
              <w:widowControl/>
              <w:jc w:val="left"/>
              <w:textAlignment w:val="center"/>
              <w:rPr>
                <w:rFonts w:hint="eastAsia" w:ascii="仿宋_GB2312" w:hAnsi="仿宋_GB2312" w:eastAsia="仿宋_GB2312" w:cs="仿宋_GB2312"/>
                <w:kern w:val="0"/>
                <w:sz w:val="24"/>
                <w:szCs w:val="24"/>
              </w:rPr>
            </w:pPr>
          </w:p>
        </w:tc>
      </w:tr>
      <w:tr w14:paraId="5D36C2C9">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61CBD7B8">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641F8F66">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腾一IOT平台V1.0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29CD28ED">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海量设备的接入和管理能力，将物理设备联接到云，支撑设备数据采集上云和云端下发命令给设备进行远程控制。支持多种工业通讯协议，支持工业协议的二次开发，提供边缘段的管理功能，提供数据转发和设备联动的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3EA7E304">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包含产品信息、设备分类、设备管理、脚本插件、主题管理、云端下发、边缘管理、统计报表、规则中心、转发规则、设备联动规则等功能</w:t>
            </w:r>
          </w:p>
        </w:tc>
        <w:tc>
          <w:tcPr>
            <w:tcW w:w="2043" w:type="dxa"/>
            <w:tcBorders>
              <w:top w:val="single" w:color="auto" w:sz="4" w:space="0"/>
              <w:left w:val="nil"/>
              <w:bottom w:val="single" w:color="auto" w:sz="4" w:space="0"/>
              <w:right w:val="single" w:color="auto" w:sz="4" w:space="0"/>
            </w:tcBorders>
            <w:shd w:val="clear" w:color="auto" w:fill="auto"/>
            <w:vAlign w:val="center"/>
          </w:tcPr>
          <w:p w14:paraId="49BCDEE7">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IoT平台：2000元-5000元/台</w:t>
            </w:r>
          </w:p>
          <w:p w14:paraId="6DC02493">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人工服务费用：2000元-3000元/人/天</w:t>
            </w:r>
          </w:p>
        </w:tc>
        <w:tc>
          <w:tcPr>
            <w:tcW w:w="2850" w:type="dxa"/>
            <w:tcBorders>
              <w:top w:val="single" w:color="auto" w:sz="4" w:space="0"/>
              <w:left w:val="nil"/>
              <w:bottom w:val="single" w:color="auto" w:sz="4" w:space="0"/>
              <w:right w:val="single" w:color="auto" w:sz="4" w:space="0"/>
            </w:tcBorders>
            <w:shd w:val="clear" w:color="auto" w:fill="auto"/>
            <w:vAlign w:val="center"/>
          </w:tcPr>
          <w:p w14:paraId="7F480160">
            <w:pPr>
              <w:widowControl/>
              <w:jc w:val="left"/>
              <w:textAlignment w:val="center"/>
              <w:rPr>
                <w:rFonts w:hint="eastAsia" w:ascii="仿宋_GB2312" w:hAnsi="仿宋_GB2312" w:eastAsia="仿宋_GB2312" w:cs="仿宋_GB2312"/>
                <w:kern w:val="0"/>
                <w:sz w:val="24"/>
                <w:szCs w:val="24"/>
              </w:rPr>
            </w:pPr>
          </w:p>
        </w:tc>
      </w:tr>
      <w:tr w14:paraId="5877C089">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8DB806C">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37DA7C30">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腾一通知中心软件V1.0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53DB05D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提供统一的消息通知平台，打通生产经营各个业务环节的交互障碍，提供多种通知方式（短信、邮件、微信公众号、企业微信机器人等），通过推送方案灵活搭建企业的消息通知体系。</w:t>
            </w:r>
          </w:p>
        </w:tc>
        <w:tc>
          <w:tcPr>
            <w:tcW w:w="4092" w:type="dxa"/>
            <w:tcBorders>
              <w:top w:val="single" w:color="auto" w:sz="4" w:space="0"/>
              <w:left w:val="nil"/>
              <w:bottom w:val="single" w:color="auto" w:sz="4" w:space="0"/>
              <w:right w:val="single" w:color="auto" w:sz="4" w:space="0"/>
            </w:tcBorders>
            <w:shd w:val="clear" w:color="auto" w:fill="auto"/>
            <w:vAlign w:val="center"/>
          </w:tcPr>
          <w:p w14:paraId="147B0E9A">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包含通知方式配置、消息模板配置、消息发送测试、推送方案、联系人等功能</w:t>
            </w:r>
          </w:p>
        </w:tc>
        <w:tc>
          <w:tcPr>
            <w:tcW w:w="2043" w:type="dxa"/>
            <w:tcBorders>
              <w:top w:val="single" w:color="auto" w:sz="4" w:space="0"/>
              <w:left w:val="nil"/>
              <w:bottom w:val="single" w:color="auto" w:sz="4" w:space="0"/>
              <w:right w:val="single" w:color="auto" w:sz="4" w:space="0"/>
            </w:tcBorders>
            <w:shd w:val="clear" w:color="auto" w:fill="auto"/>
            <w:vAlign w:val="center"/>
          </w:tcPr>
          <w:p w14:paraId="4FEBDE1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通知平台价格：1万元-5万元/套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26B428BF">
            <w:pPr>
              <w:widowControl/>
              <w:jc w:val="left"/>
              <w:textAlignment w:val="center"/>
              <w:rPr>
                <w:rFonts w:hint="eastAsia" w:ascii="仿宋_GB2312" w:hAnsi="仿宋_GB2312" w:eastAsia="仿宋_GB2312" w:cs="仿宋_GB2312"/>
                <w:kern w:val="0"/>
                <w:sz w:val="24"/>
                <w:szCs w:val="24"/>
              </w:rPr>
            </w:pPr>
          </w:p>
        </w:tc>
      </w:tr>
      <w:tr w14:paraId="110C33D2">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05221A32">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08539C2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腾一数据中台软件V1.0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0A9A293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提供数据采集、数据存储、任务调度等功能打通了企业内部各个信息孤岛的问题，再通过标签管理、模型管理、数据清洗等功能统一了标准的数据。最后通过数据开发生成相关的数据，为决策打下基础。</w:t>
            </w:r>
          </w:p>
        </w:tc>
        <w:tc>
          <w:tcPr>
            <w:tcW w:w="4092" w:type="dxa"/>
            <w:tcBorders>
              <w:top w:val="single" w:color="auto" w:sz="4" w:space="0"/>
              <w:left w:val="nil"/>
              <w:bottom w:val="single" w:color="auto" w:sz="4" w:space="0"/>
              <w:right w:val="single" w:color="auto" w:sz="4" w:space="0"/>
            </w:tcBorders>
            <w:shd w:val="clear" w:color="auto" w:fill="auto"/>
            <w:vAlign w:val="center"/>
          </w:tcPr>
          <w:p w14:paraId="572ABF92">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包含数据采集、数据同步、数据开发、数据仓库、资产管理、模型管理（标签模型、算法模型）、标签管理、任务调度等功能</w:t>
            </w:r>
          </w:p>
        </w:tc>
        <w:tc>
          <w:tcPr>
            <w:tcW w:w="2043" w:type="dxa"/>
            <w:tcBorders>
              <w:top w:val="single" w:color="auto" w:sz="4" w:space="0"/>
              <w:left w:val="nil"/>
              <w:bottom w:val="single" w:color="auto" w:sz="4" w:space="0"/>
              <w:right w:val="single" w:color="auto" w:sz="4" w:space="0"/>
            </w:tcBorders>
            <w:shd w:val="clear" w:color="auto" w:fill="auto"/>
            <w:vAlign w:val="center"/>
          </w:tcPr>
          <w:p w14:paraId="1E043987">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数据中台价格：30万元-100万元/套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231FC2B1">
            <w:pPr>
              <w:widowControl/>
              <w:jc w:val="left"/>
              <w:textAlignment w:val="center"/>
              <w:rPr>
                <w:rFonts w:hint="eastAsia" w:ascii="仿宋_GB2312" w:hAnsi="仿宋_GB2312" w:eastAsia="仿宋_GB2312" w:cs="仿宋_GB2312"/>
                <w:kern w:val="0"/>
                <w:sz w:val="24"/>
                <w:szCs w:val="24"/>
              </w:rPr>
            </w:pPr>
          </w:p>
        </w:tc>
      </w:tr>
      <w:tr w14:paraId="377EECAE">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C2CA98D">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78714AC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交换机</w:t>
            </w:r>
          </w:p>
        </w:tc>
        <w:tc>
          <w:tcPr>
            <w:tcW w:w="2613" w:type="dxa"/>
            <w:tcBorders>
              <w:top w:val="single" w:color="auto" w:sz="4" w:space="0"/>
              <w:left w:val="nil"/>
              <w:bottom w:val="single" w:color="auto" w:sz="4" w:space="0"/>
              <w:right w:val="single" w:color="auto" w:sz="4" w:space="0"/>
            </w:tcBorders>
            <w:shd w:val="clear" w:color="auto" w:fill="auto"/>
            <w:vAlign w:val="center"/>
          </w:tcPr>
          <w:p w14:paraId="2D4EBC3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交换机主要功能在于实现数据包的高效转发与路由选择。通过学习和维护MAC地址表，确保数据包能够准确、快速地送达目标设备。同时，交换机支持VLAN划分，实现网络逻辑隔离，增强安全性和灵活性。此外，它还具备流量控制、QoS支持、安全控制等功能，以优化网络性能，保障数据传输的可靠性和安全性。</w:t>
            </w:r>
          </w:p>
        </w:tc>
        <w:tc>
          <w:tcPr>
            <w:tcW w:w="4092" w:type="dxa"/>
            <w:tcBorders>
              <w:top w:val="single" w:color="auto" w:sz="4" w:space="0"/>
              <w:left w:val="nil"/>
              <w:bottom w:val="single" w:color="auto" w:sz="4" w:space="0"/>
              <w:right w:val="single" w:color="auto" w:sz="4" w:space="0"/>
            </w:tcBorders>
            <w:shd w:val="clear" w:color="auto" w:fill="auto"/>
            <w:vAlign w:val="center"/>
          </w:tcPr>
          <w:p w14:paraId="409750A3">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该解决方案旨在为用户提供优质的网络通信服务。</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1、高性能设计：交换机采用先进的硬件和软件技术，确保高速、低延迟的数据转发能力，满足现代网络对带宽和性能的高要求。</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2、灵活配置与扩展：提供丰富的接口类型和模块化设计，支持多种网络协议和VLAN划分，便于用户根据实际需求进行灵活配置和扩展。</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3、高可靠性保障：通过冗余电源、热插拔模块、故障自动恢复等机制，确保交换机在复杂网络环境中的高可靠性和稳定性。</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4、智能运维管理：集成先进的网络管理软件和工具，支持远程监控、故障诊断、性能优化等功能，简化运维流程，提高运维效率。</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5、绿色节能：采用低功耗设计和高效散热技术，降低能耗，符合节能减排的环保理念。</w:t>
            </w:r>
          </w:p>
        </w:tc>
        <w:tc>
          <w:tcPr>
            <w:tcW w:w="2043" w:type="dxa"/>
            <w:tcBorders>
              <w:top w:val="single" w:color="auto" w:sz="4" w:space="0"/>
              <w:left w:val="nil"/>
              <w:bottom w:val="single" w:color="auto" w:sz="4" w:space="0"/>
              <w:right w:val="single" w:color="auto" w:sz="4" w:space="0"/>
            </w:tcBorders>
            <w:shd w:val="clear" w:color="auto" w:fill="auto"/>
            <w:vAlign w:val="center"/>
          </w:tcPr>
          <w:p w14:paraId="07FD6212">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val="en-US" w:eastAsia="zh-CN" w:bidi="ar"/>
              </w:rPr>
              <w:t>0.03万</w:t>
            </w:r>
            <w:r>
              <w:rPr>
                <w:rFonts w:hint="eastAsia" w:ascii="仿宋" w:hAnsi="仿宋" w:cs="仿宋"/>
                <w:color w:val="auto"/>
                <w:kern w:val="0"/>
                <w:sz w:val="24"/>
                <w:szCs w:val="24"/>
                <w:lang w:bidi="ar"/>
              </w:rPr>
              <w:t>元-3</w:t>
            </w:r>
            <w:r>
              <w:rPr>
                <w:rFonts w:hint="eastAsia" w:ascii="仿宋" w:hAnsi="仿宋" w:cs="仿宋"/>
                <w:color w:val="auto"/>
                <w:kern w:val="0"/>
                <w:sz w:val="24"/>
                <w:szCs w:val="24"/>
                <w:lang w:val="en-US" w:eastAsia="zh-CN" w:bidi="ar"/>
              </w:rPr>
              <w:t>万</w:t>
            </w:r>
            <w:r>
              <w:rPr>
                <w:rFonts w:hint="eastAsia" w:ascii="仿宋" w:hAnsi="仿宋" w:cs="仿宋"/>
                <w:color w:val="auto"/>
                <w:kern w:val="0"/>
                <w:sz w:val="24"/>
                <w:szCs w:val="24"/>
                <w:lang w:bidi="ar"/>
              </w:rPr>
              <w:t>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1EA812C0">
            <w:pPr>
              <w:widowControl/>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修订</w:t>
            </w:r>
          </w:p>
        </w:tc>
      </w:tr>
      <w:tr w14:paraId="0E140404">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B4AAE5F">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1B10403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网关</w:t>
            </w:r>
          </w:p>
        </w:tc>
        <w:tc>
          <w:tcPr>
            <w:tcW w:w="2613" w:type="dxa"/>
            <w:tcBorders>
              <w:top w:val="single" w:color="auto" w:sz="4" w:space="0"/>
              <w:left w:val="nil"/>
              <w:bottom w:val="single" w:color="auto" w:sz="4" w:space="0"/>
              <w:right w:val="single" w:color="auto" w:sz="4" w:space="0"/>
            </w:tcBorders>
            <w:shd w:val="clear" w:color="auto" w:fill="auto"/>
            <w:vAlign w:val="center"/>
          </w:tcPr>
          <w:p w14:paraId="597C3F51">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作为不同网络之间的桥梁，实现数据的转换、传输与通信。它能够执行协议转换，将一种网络协议的数据包转换为另一种协议的数据包，确保不同网络间的无缝连接；同时，网关还具备地址转换功能，通过NAT等技术实现IP地址的映射和访问控制，保障网络安全；此外，网关还能进行数据包转发，根据路由信息将数据包准确送达目的地；在安全性方面，网关能够过滤流量，阻止非法或恶意数据的侵入，提供网络防护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0E95EF41">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1、高性能架构设计：确保高效数据处理与稳定运行，支持多种网络接口。</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2、多协议支持：实现不同网络间无缝连接，支持有线与无线协议转换。</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3、内置安全机制：包括防火墙、数据加密等，保障网络安全。</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4、灵活管理与配置：提供易用界面，支持远程操作与固件升级。</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5、可扩展性与兼容性：预留扩展接口，适应未来升级与多样化需求。</w:t>
            </w:r>
          </w:p>
        </w:tc>
        <w:tc>
          <w:tcPr>
            <w:tcW w:w="2043" w:type="dxa"/>
            <w:tcBorders>
              <w:top w:val="single" w:color="auto" w:sz="4" w:space="0"/>
              <w:left w:val="nil"/>
              <w:bottom w:val="single" w:color="auto" w:sz="4" w:space="0"/>
              <w:right w:val="single" w:color="auto" w:sz="4" w:space="0"/>
            </w:tcBorders>
            <w:shd w:val="clear" w:color="auto" w:fill="auto"/>
            <w:vAlign w:val="center"/>
          </w:tcPr>
          <w:p w14:paraId="29084883">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val="en-US" w:eastAsia="zh-CN" w:bidi="ar"/>
              </w:rPr>
              <w:t>0.03万</w:t>
            </w:r>
            <w:r>
              <w:rPr>
                <w:rFonts w:hint="eastAsia" w:ascii="仿宋" w:hAnsi="仿宋" w:cs="仿宋"/>
                <w:color w:val="auto"/>
                <w:kern w:val="0"/>
                <w:sz w:val="24"/>
                <w:szCs w:val="24"/>
                <w:lang w:bidi="ar"/>
              </w:rPr>
              <w:t>元-3</w:t>
            </w:r>
            <w:r>
              <w:rPr>
                <w:rFonts w:hint="eastAsia" w:ascii="仿宋" w:hAnsi="仿宋" w:cs="仿宋"/>
                <w:color w:val="auto"/>
                <w:kern w:val="0"/>
                <w:sz w:val="24"/>
                <w:szCs w:val="24"/>
                <w:lang w:val="en-US" w:eastAsia="zh-CN" w:bidi="ar"/>
              </w:rPr>
              <w:t>万</w:t>
            </w:r>
            <w:r>
              <w:rPr>
                <w:rFonts w:hint="eastAsia" w:ascii="仿宋" w:hAnsi="仿宋" w:cs="仿宋"/>
                <w:color w:val="auto"/>
                <w:kern w:val="0"/>
                <w:sz w:val="24"/>
                <w:szCs w:val="24"/>
                <w:lang w:bidi="ar"/>
              </w:rPr>
              <w:t>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3DD29066">
            <w:pPr>
              <w:widowControl/>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修订</w:t>
            </w:r>
          </w:p>
        </w:tc>
      </w:tr>
      <w:tr w14:paraId="72D3BD98">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30EAC93F">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3A374DC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路由器</w:t>
            </w:r>
          </w:p>
        </w:tc>
        <w:tc>
          <w:tcPr>
            <w:tcW w:w="2613" w:type="dxa"/>
            <w:tcBorders>
              <w:top w:val="single" w:color="auto" w:sz="4" w:space="0"/>
              <w:left w:val="nil"/>
              <w:bottom w:val="single" w:color="auto" w:sz="4" w:space="0"/>
              <w:right w:val="single" w:color="auto" w:sz="4" w:space="0"/>
            </w:tcBorders>
            <w:shd w:val="clear" w:color="auto" w:fill="auto"/>
            <w:vAlign w:val="center"/>
          </w:tcPr>
          <w:p w14:paraId="76AFA79A">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通过连接不同网络或网段，实现数据包的转发和传输。它不仅能够支持多种网络协议的互连，还具备数据处理能力，如分组过滤、加密、压缩等，以确保数据的安全性和高效性。此外，路由器还能分配IP地址，管理网络流量，并提供用户安全管理和网络管理功能，如配置管理、性能管理和容错管理等，从而构建一个稳定、安全且高效的网络环境。</w:t>
            </w:r>
          </w:p>
        </w:tc>
        <w:tc>
          <w:tcPr>
            <w:tcW w:w="4092" w:type="dxa"/>
            <w:tcBorders>
              <w:top w:val="single" w:color="auto" w:sz="4" w:space="0"/>
              <w:left w:val="nil"/>
              <w:bottom w:val="single" w:color="auto" w:sz="4" w:space="0"/>
              <w:right w:val="single" w:color="auto" w:sz="4" w:space="0"/>
            </w:tcBorders>
            <w:shd w:val="clear" w:color="auto" w:fill="auto"/>
            <w:vAlign w:val="center"/>
          </w:tcPr>
          <w:p w14:paraId="4BBDB6C1">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1、网络互联：作为网络的核心设备，实现不同网络或子网之间的互联。</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2、数据转发：根据路由表智能选择最佳路径，高效转发数据包。</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3、协议支持：支持多种网络协议，确保不同设备间的通信顺畅。</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4、安全管理：提供防火墙、访问控制等安全功能，保护网络安全。</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5、性能优化：通过负载均衡、流量控制等技术，提升网络整体性能。</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6、管理便捷：支持远程管理和配置，简化网络维护工作。</w:t>
            </w:r>
          </w:p>
        </w:tc>
        <w:tc>
          <w:tcPr>
            <w:tcW w:w="2043" w:type="dxa"/>
            <w:tcBorders>
              <w:top w:val="single" w:color="auto" w:sz="4" w:space="0"/>
              <w:left w:val="nil"/>
              <w:bottom w:val="single" w:color="auto" w:sz="4" w:space="0"/>
              <w:right w:val="single" w:color="auto" w:sz="4" w:space="0"/>
            </w:tcBorders>
            <w:shd w:val="clear" w:color="auto" w:fill="auto"/>
            <w:vAlign w:val="center"/>
          </w:tcPr>
          <w:p w14:paraId="4818F509">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val="en-US" w:eastAsia="zh-CN" w:bidi="ar"/>
              </w:rPr>
              <w:t>0.03万</w:t>
            </w:r>
            <w:r>
              <w:rPr>
                <w:rFonts w:hint="eastAsia" w:ascii="仿宋" w:hAnsi="仿宋" w:cs="仿宋"/>
                <w:color w:val="auto"/>
                <w:kern w:val="0"/>
                <w:sz w:val="24"/>
                <w:szCs w:val="24"/>
                <w:lang w:bidi="ar"/>
              </w:rPr>
              <w:t>元-3</w:t>
            </w:r>
            <w:r>
              <w:rPr>
                <w:rFonts w:hint="eastAsia" w:ascii="仿宋" w:hAnsi="仿宋" w:cs="仿宋"/>
                <w:color w:val="auto"/>
                <w:kern w:val="0"/>
                <w:sz w:val="24"/>
                <w:szCs w:val="24"/>
                <w:lang w:val="en-US" w:eastAsia="zh-CN" w:bidi="ar"/>
              </w:rPr>
              <w:t>万</w:t>
            </w:r>
            <w:r>
              <w:rPr>
                <w:rFonts w:hint="eastAsia" w:ascii="仿宋" w:hAnsi="仿宋" w:cs="仿宋"/>
                <w:color w:val="auto"/>
                <w:kern w:val="0"/>
                <w:sz w:val="24"/>
                <w:szCs w:val="24"/>
                <w:lang w:bidi="ar"/>
              </w:rPr>
              <w:t>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007D3BD5">
            <w:pPr>
              <w:widowControl/>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修订</w:t>
            </w:r>
          </w:p>
        </w:tc>
      </w:tr>
      <w:tr w14:paraId="294AF9D2">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401D707F">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447190C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数据采集终端</w:t>
            </w:r>
          </w:p>
        </w:tc>
        <w:tc>
          <w:tcPr>
            <w:tcW w:w="2613" w:type="dxa"/>
            <w:tcBorders>
              <w:top w:val="single" w:color="auto" w:sz="4" w:space="0"/>
              <w:left w:val="nil"/>
              <w:bottom w:val="single" w:color="auto" w:sz="4" w:space="0"/>
              <w:right w:val="single" w:color="auto" w:sz="4" w:space="0"/>
            </w:tcBorders>
            <w:shd w:val="clear" w:color="auto" w:fill="auto"/>
            <w:vAlign w:val="center"/>
          </w:tcPr>
          <w:p w14:paraId="53CBF78F">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数据采集终端是一种具备多种功能的便携式终端设备，主要用于收集、存储和传输各种类型的数据。支持扫码、检验、报工等多种应用场景，在生产、质检、仓储等多个环节中发挥着重要作用。</w:t>
            </w:r>
          </w:p>
        </w:tc>
        <w:tc>
          <w:tcPr>
            <w:tcW w:w="4092" w:type="dxa"/>
            <w:tcBorders>
              <w:top w:val="single" w:color="auto" w:sz="4" w:space="0"/>
              <w:left w:val="nil"/>
              <w:bottom w:val="single" w:color="auto" w:sz="4" w:space="0"/>
              <w:right w:val="single" w:color="auto" w:sz="4" w:space="0"/>
            </w:tcBorders>
            <w:shd w:val="clear" w:color="auto" w:fill="auto"/>
            <w:vAlign w:val="center"/>
          </w:tcPr>
          <w:p w14:paraId="52E51DE9">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1、高效扫码识别：内置的高精度扫描模块能够快速且准确地读取一维或二维条码，无论是产品、物料还是员工信息，都能通过简单的扫码操作实现快速录入和追踪。</w:t>
            </w:r>
          </w:p>
          <w:p w14:paraId="3AB9623D">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2、质量数据输入：数据采集终端支持质量数据录入，如来料检验、首检、巡检记录或者上传检测照片，确保生产过程中的产品质量符合质量管理要求，便于质量分析。</w:t>
            </w:r>
          </w:p>
          <w:p w14:paraId="74FA9BE4">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3、便捷报工与数据统计：员工可以通过数据采集终端轻松记录工时、产量等生产数据，这些数据能够实时上传至管理系统，方便生产管理人员进行实时监控、分析和调度。</w:t>
            </w:r>
          </w:p>
        </w:tc>
        <w:tc>
          <w:tcPr>
            <w:tcW w:w="2043" w:type="dxa"/>
            <w:tcBorders>
              <w:top w:val="single" w:color="auto" w:sz="4" w:space="0"/>
              <w:left w:val="nil"/>
              <w:bottom w:val="single" w:color="auto" w:sz="4" w:space="0"/>
              <w:right w:val="single" w:color="auto" w:sz="4" w:space="0"/>
            </w:tcBorders>
            <w:shd w:val="clear" w:color="auto" w:fill="auto"/>
            <w:vAlign w:val="center"/>
          </w:tcPr>
          <w:p w14:paraId="4D3B82F2">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val="en-US" w:eastAsia="zh-CN" w:bidi="ar"/>
              </w:rPr>
              <w:t>0.1万</w:t>
            </w:r>
            <w:r>
              <w:rPr>
                <w:rFonts w:hint="eastAsia" w:ascii="仿宋" w:hAnsi="仿宋" w:cs="仿宋"/>
                <w:color w:val="auto"/>
                <w:kern w:val="0"/>
                <w:sz w:val="24"/>
                <w:szCs w:val="24"/>
                <w:lang w:bidi="ar"/>
              </w:rPr>
              <w:t>元-2</w:t>
            </w:r>
            <w:r>
              <w:rPr>
                <w:rFonts w:hint="eastAsia" w:ascii="仿宋" w:hAnsi="仿宋" w:cs="仿宋"/>
                <w:color w:val="auto"/>
                <w:kern w:val="0"/>
                <w:sz w:val="24"/>
                <w:szCs w:val="24"/>
                <w:lang w:val="en-US" w:eastAsia="zh-CN" w:bidi="ar"/>
              </w:rPr>
              <w:t>万</w:t>
            </w:r>
            <w:r>
              <w:rPr>
                <w:rFonts w:hint="eastAsia" w:ascii="仿宋" w:hAnsi="仿宋" w:cs="仿宋"/>
                <w:color w:val="auto"/>
                <w:kern w:val="0"/>
                <w:sz w:val="24"/>
                <w:szCs w:val="24"/>
                <w:lang w:bidi="ar"/>
              </w:rPr>
              <w:t>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7F1B6756">
            <w:pPr>
              <w:widowControl/>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修订</w:t>
            </w:r>
          </w:p>
        </w:tc>
      </w:tr>
      <w:tr w14:paraId="34DA9E84">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3C5EA449">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15D16ACD">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腾一AI智能客服系统V1.0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1DFAEBA1">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腾一AI智能客服系统是一款集智能问答、多渠道接入、人工客服转接及知识库管理于一体的综合性智能客服解决方案，旨在通过先进的自然语言处理技术和灵活的部署方式，为企业提供高效、便捷的客户服务。</w:t>
            </w:r>
          </w:p>
        </w:tc>
        <w:tc>
          <w:tcPr>
            <w:tcW w:w="4092" w:type="dxa"/>
            <w:tcBorders>
              <w:top w:val="single" w:color="auto" w:sz="4" w:space="0"/>
              <w:left w:val="nil"/>
              <w:bottom w:val="single" w:color="auto" w:sz="4" w:space="0"/>
              <w:right w:val="single" w:color="auto" w:sz="4" w:space="0"/>
            </w:tcBorders>
            <w:shd w:val="clear" w:color="auto" w:fill="auto"/>
            <w:vAlign w:val="center"/>
          </w:tcPr>
          <w:p w14:paraId="3E2E38F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1、智能问答与自动回复：利用自然语言处理技术，精准理解并回答用户提问。预设常见问题解答（FAQ）库，实现快速响应。自动识别用户意图，提供个性化答案。</w:t>
            </w:r>
          </w:p>
          <w:p w14:paraId="0E4BF50F">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2、多渠道接入：支持在多个平台（如网站、移动应用、社交媒体、短信等）上部署。确保不同渠道之间的会话一致性，提升用户体验。</w:t>
            </w:r>
          </w:p>
          <w:p w14:paraId="1305031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3、人工客服转接：当AI无法解决问题时，无缝转接给人工客服，确保问题得到妥善解决。提供人工客服工具，助力客服人员高效记录和管理用户咨询。</w:t>
            </w:r>
          </w:p>
          <w:p w14:paraId="425342A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4、知识库管理：提供易于管理的知识库系统，方便存储和查询常见问题和答案。允许企业根据实际需求更新和扩展知识库内容，保持信息的时效性和准确性。</w:t>
            </w:r>
          </w:p>
        </w:tc>
        <w:tc>
          <w:tcPr>
            <w:tcW w:w="2043" w:type="dxa"/>
            <w:tcBorders>
              <w:top w:val="single" w:color="auto" w:sz="4" w:space="0"/>
              <w:left w:val="nil"/>
              <w:bottom w:val="single" w:color="auto" w:sz="4" w:space="0"/>
              <w:right w:val="single" w:color="auto" w:sz="4" w:space="0"/>
            </w:tcBorders>
            <w:shd w:val="clear" w:color="auto" w:fill="auto"/>
            <w:vAlign w:val="center"/>
          </w:tcPr>
          <w:p w14:paraId="0F3098E0">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5万元-20万元/套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56657030">
            <w:pPr>
              <w:widowControl/>
              <w:jc w:val="center"/>
              <w:textAlignment w:val="center"/>
              <w:rPr>
                <w:rFonts w:hint="eastAsia" w:ascii="仿宋" w:hAnsi="仿宋" w:cs="仿宋"/>
                <w:color w:val="000000"/>
                <w:kern w:val="0"/>
                <w:sz w:val="24"/>
                <w:szCs w:val="24"/>
                <w:lang w:bidi="ar"/>
              </w:rPr>
            </w:pPr>
          </w:p>
        </w:tc>
      </w:tr>
      <w:tr w14:paraId="206F30E0">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42000997">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167CC551">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腾一AI智能调度编排平台V1.0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4BAA77A3">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腾一AI智能调度编排平台是一款基于人工智能技术的高效系统，专注于自动化流程编排与任务调度管理，旨在优化AI问题解决流程，并实现多系统之间的无缝对接。</w:t>
            </w:r>
          </w:p>
        </w:tc>
        <w:tc>
          <w:tcPr>
            <w:tcW w:w="4092" w:type="dxa"/>
            <w:tcBorders>
              <w:top w:val="single" w:color="auto" w:sz="4" w:space="0"/>
              <w:left w:val="nil"/>
              <w:bottom w:val="single" w:color="auto" w:sz="4" w:space="0"/>
              <w:right w:val="single" w:color="auto" w:sz="4" w:space="0"/>
            </w:tcBorders>
            <w:shd w:val="clear" w:color="auto" w:fill="auto"/>
            <w:vAlign w:val="center"/>
          </w:tcPr>
          <w:p w14:paraId="65BC7F6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1、智能流程设计：提供可视化流程设计工具，用户无需编程即可快速构建和优化AI任务执行流程。</w:t>
            </w:r>
          </w:p>
          <w:p w14:paraId="0B71894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2、资源调度管理：自动匹配和分配计算资源，确保AI任务在最优环境下高效执行。</w:t>
            </w:r>
          </w:p>
          <w:p w14:paraId="1DAC85B2">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3、任务监控与优化：实时监控任务执行状态，通过智能算法进行性能调优，提升任务执行效率。对标行业领先的云百炼任务监控与调优能力。</w:t>
            </w:r>
          </w:p>
          <w:p w14:paraId="7E91BEC6">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4、多场景适配：支持多种业务场景的流程定制，满足不同行业对AI任务调度与编排的多样化需求。</w:t>
            </w:r>
          </w:p>
          <w:p w14:paraId="3850AC37">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5、弹性伸缩：根据任务负载自动调整资源使用，实现成本与性能的最优平衡，提升资源利用率。</w:t>
            </w:r>
          </w:p>
          <w:p w14:paraId="09EB7E3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6、数据集成与处理：提供数据集成服务，支持复杂的数据处理流程，确保AI任务的数据输入质量，为任务执行提供可靠的数据支持。</w:t>
            </w:r>
          </w:p>
        </w:tc>
        <w:tc>
          <w:tcPr>
            <w:tcW w:w="2043" w:type="dxa"/>
            <w:tcBorders>
              <w:top w:val="single" w:color="auto" w:sz="4" w:space="0"/>
              <w:left w:val="nil"/>
              <w:bottom w:val="single" w:color="auto" w:sz="4" w:space="0"/>
              <w:right w:val="single" w:color="auto" w:sz="4" w:space="0"/>
            </w:tcBorders>
            <w:shd w:val="clear" w:color="auto" w:fill="auto"/>
            <w:vAlign w:val="center"/>
          </w:tcPr>
          <w:p w14:paraId="2A56D635">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5万元-30万元/套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6064863E">
            <w:pPr>
              <w:widowControl/>
              <w:jc w:val="center"/>
              <w:textAlignment w:val="center"/>
              <w:rPr>
                <w:rFonts w:hint="eastAsia" w:ascii="仿宋" w:hAnsi="仿宋" w:cs="仿宋"/>
                <w:color w:val="000000"/>
                <w:kern w:val="0"/>
                <w:sz w:val="24"/>
                <w:szCs w:val="24"/>
                <w:lang w:bidi="ar"/>
              </w:rPr>
            </w:pPr>
          </w:p>
        </w:tc>
      </w:tr>
      <w:tr w14:paraId="209AFDC5">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64B2C15D">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38B0EB45">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AI应用服务</w:t>
            </w:r>
          </w:p>
        </w:tc>
        <w:tc>
          <w:tcPr>
            <w:tcW w:w="2613" w:type="dxa"/>
            <w:tcBorders>
              <w:top w:val="single" w:color="auto" w:sz="4" w:space="0"/>
              <w:left w:val="nil"/>
              <w:bottom w:val="single" w:color="auto" w:sz="4" w:space="0"/>
              <w:right w:val="single" w:color="auto" w:sz="4" w:space="0"/>
            </w:tcBorders>
            <w:shd w:val="clear" w:color="auto" w:fill="auto"/>
            <w:vAlign w:val="center"/>
          </w:tcPr>
          <w:p w14:paraId="763E91C7">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通过深度融合AI技术与制造业的实际需求，为制造业提供全面、高效、智能的解决方案。</w:t>
            </w:r>
          </w:p>
        </w:tc>
        <w:tc>
          <w:tcPr>
            <w:tcW w:w="4092" w:type="dxa"/>
            <w:tcBorders>
              <w:top w:val="single" w:color="auto" w:sz="4" w:space="0"/>
              <w:left w:val="nil"/>
              <w:bottom w:val="single" w:color="auto" w:sz="4" w:space="0"/>
              <w:right w:val="single" w:color="auto" w:sz="4" w:space="0"/>
            </w:tcBorders>
            <w:shd w:val="clear" w:color="auto" w:fill="auto"/>
            <w:vAlign w:val="center"/>
          </w:tcPr>
          <w:p w14:paraId="596B65B8">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1、AI场景挖掘服务。</w:t>
            </w:r>
          </w:p>
          <w:p w14:paraId="082A296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2、AI知识库模型搭建服务。</w:t>
            </w:r>
          </w:p>
          <w:p w14:paraId="54820012">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3、智能流程优化服务：利用AI对企业现有的销售，采购，计划，仓储，生产等流程进行深度分析，识别出瓶颈和浪费环节，并提出优化建议，降本，提质和增效。</w:t>
            </w:r>
          </w:p>
          <w:p w14:paraId="1A499539">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4、智能分析服务：利用AI强大的数据分析能力，能够实时采集、整合和分析企业数据，通过数据可视化工具，可以直观地了解运营状况，为决策提供支持。</w:t>
            </w:r>
          </w:p>
          <w:p w14:paraId="13EE67A7">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5、预测与决策支持：基于AI算法，能够预测未来的市场需求、库存变化等趋势，为企业提供精准的预测和决策支持。有助于提前调整生产计划，优化库存结构，降低运营风险。</w:t>
            </w:r>
          </w:p>
        </w:tc>
        <w:tc>
          <w:tcPr>
            <w:tcW w:w="2043" w:type="dxa"/>
            <w:tcBorders>
              <w:top w:val="single" w:color="auto" w:sz="4" w:space="0"/>
              <w:left w:val="nil"/>
              <w:bottom w:val="single" w:color="auto" w:sz="4" w:space="0"/>
              <w:right w:val="single" w:color="auto" w:sz="4" w:space="0"/>
            </w:tcBorders>
            <w:shd w:val="clear" w:color="auto" w:fill="auto"/>
            <w:vAlign w:val="center"/>
          </w:tcPr>
          <w:p w14:paraId="3C0B3122">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5万元-30万元/场景</w:t>
            </w:r>
          </w:p>
        </w:tc>
        <w:tc>
          <w:tcPr>
            <w:tcW w:w="2850" w:type="dxa"/>
            <w:tcBorders>
              <w:top w:val="single" w:color="auto" w:sz="4" w:space="0"/>
              <w:left w:val="nil"/>
              <w:bottom w:val="single" w:color="auto" w:sz="4" w:space="0"/>
              <w:right w:val="single" w:color="auto" w:sz="4" w:space="0"/>
            </w:tcBorders>
            <w:shd w:val="clear" w:color="auto" w:fill="auto"/>
            <w:vAlign w:val="center"/>
          </w:tcPr>
          <w:p w14:paraId="1468B96D">
            <w:pPr>
              <w:widowControl/>
              <w:jc w:val="center"/>
              <w:textAlignment w:val="center"/>
              <w:rPr>
                <w:rFonts w:hint="eastAsia" w:ascii="仿宋" w:hAnsi="仿宋" w:cs="仿宋"/>
                <w:color w:val="000000"/>
                <w:kern w:val="0"/>
                <w:sz w:val="24"/>
                <w:szCs w:val="24"/>
                <w:lang w:bidi="ar"/>
              </w:rPr>
            </w:pPr>
          </w:p>
        </w:tc>
      </w:tr>
      <w:tr w14:paraId="4BCC16B8">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612DE1E1">
            <w:pPr>
              <w:widowControl/>
              <w:numPr>
                <w:ilvl w:val="0"/>
                <w:numId w:val="2"/>
              </w:numPr>
              <w:ind w:left="425" w:leftChars="0" w:hanging="425" w:firstLineChars="0"/>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7A9F25B3">
            <w:pPr>
              <w:widowControl/>
              <w:jc w:val="center"/>
              <w:textAlignment w:val="center"/>
              <w:rPr>
                <w:rFonts w:hint="eastAsia" w:ascii="仿宋" w:hAnsi="仿宋" w:cs="仿宋"/>
                <w:color w:val="auto"/>
                <w:kern w:val="0"/>
                <w:sz w:val="24"/>
                <w:szCs w:val="24"/>
                <w:highlight w:val="none"/>
                <w:lang w:bidi="ar"/>
              </w:rPr>
            </w:pPr>
            <w:r>
              <w:rPr>
                <w:rFonts w:hint="eastAsia" w:ascii="仿宋" w:hAnsi="仿宋" w:cs="仿宋"/>
                <w:color w:val="auto"/>
                <w:kern w:val="0"/>
                <w:sz w:val="24"/>
                <w:szCs w:val="24"/>
                <w:highlight w:val="none"/>
                <w:lang w:val="en-US" w:eastAsia="zh-CN" w:bidi="ar"/>
              </w:rPr>
              <w:t>腾一土豆鸟AI智能体软件V1.0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6EAA0D23">
            <w:pPr>
              <w:widowControl/>
              <w:jc w:val="center"/>
              <w:textAlignment w:val="center"/>
              <w:rPr>
                <w:rFonts w:hint="eastAsia" w:ascii="仿宋" w:hAnsi="仿宋" w:cs="仿宋"/>
                <w:color w:val="auto"/>
                <w:kern w:val="0"/>
                <w:sz w:val="24"/>
                <w:szCs w:val="24"/>
                <w:highlight w:val="none"/>
                <w:lang w:bidi="ar"/>
              </w:rPr>
            </w:pPr>
            <w:r>
              <w:rPr>
                <w:rFonts w:hint="eastAsia" w:ascii="仿宋" w:hAnsi="仿宋" w:cs="仿宋"/>
                <w:color w:val="auto"/>
                <w:kern w:val="0"/>
                <w:sz w:val="24"/>
                <w:szCs w:val="24"/>
                <w:highlight w:val="none"/>
                <w:lang w:bidi="ar"/>
              </w:rPr>
              <w:t>为装配制造行业提供智能化解决方案，通过自然语言交互与大模型技术，帮助企业实现数据洞察、智能操作与流程优化。软件致力于提升生产效率、降低运营成本，并通过自动化生成报表、数据分析与预测等功能，助力企业决策。同时，通过流程编排功能，支持复杂业务场景的灵活配置，推动制造业向智能化、数字化转型。</w:t>
            </w:r>
          </w:p>
        </w:tc>
        <w:tc>
          <w:tcPr>
            <w:tcW w:w="4092" w:type="dxa"/>
            <w:tcBorders>
              <w:top w:val="single" w:color="auto" w:sz="4" w:space="0"/>
              <w:left w:val="nil"/>
              <w:bottom w:val="single" w:color="auto" w:sz="4" w:space="0"/>
              <w:right w:val="single" w:color="auto" w:sz="4" w:space="0"/>
            </w:tcBorders>
            <w:shd w:val="clear" w:color="auto" w:fill="auto"/>
            <w:vAlign w:val="center"/>
          </w:tcPr>
          <w:p w14:paraId="52DB61C1">
            <w:pPr>
              <w:widowControl/>
              <w:numPr>
                <w:ilvl w:val="0"/>
                <w:numId w:val="0"/>
              </w:numPr>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1、</w:t>
            </w:r>
            <w:r>
              <w:rPr>
                <w:rFonts w:hint="eastAsia" w:ascii="仿宋" w:hAnsi="仿宋" w:eastAsia="仿宋" w:cs="仿宋"/>
                <w:color w:val="auto"/>
                <w:kern w:val="0"/>
                <w:sz w:val="24"/>
                <w:szCs w:val="24"/>
                <w:highlight w:val="none"/>
                <w:lang w:bidi="ar"/>
              </w:rPr>
              <w:t>数据洞察：实时分析生产数据，提供可视化报表与趋势预测。</w:t>
            </w:r>
          </w:p>
          <w:p w14:paraId="461FAFCB">
            <w:pPr>
              <w:widowControl/>
              <w:numPr>
                <w:ilvl w:val="0"/>
                <w:numId w:val="0"/>
              </w:numPr>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w:t>
            </w:r>
            <w:r>
              <w:rPr>
                <w:rFonts w:hint="eastAsia" w:ascii="仿宋" w:hAnsi="仿宋" w:eastAsia="仿宋" w:cs="仿宋"/>
                <w:color w:val="auto"/>
                <w:kern w:val="0"/>
                <w:sz w:val="24"/>
                <w:szCs w:val="24"/>
                <w:highlight w:val="none"/>
                <w:lang w:bidi="ar"/>
              </w:rPr>
              <w:t>智能操作：通过自然语言交互，实现设备控制、任务调度等操作。</w:t>
            </w:r>
          </w:p>
          <w:p w14:paraId="45518AA4">
            <w:pPr>
              <w:widowControl/>
              <w:numPr>
                <w:ilvl w:val="0"/>
                <w:numId w:val="0"/>
              </w:numPr>
              <w:ind w:left="0" w:leftChars="0" w:firstLine="0" w:firstLineChars="0"/>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w:t>
            </w:r>
            <w:r>
              <w:rPr>
                <w:rFonts w:hint="eastAsia" w:ascii="仿宋" w:hAnsi="仿宋" w:eastAsia="仿宋" w:cs="仿宋"/>
                <w:color w:val="auto"/>
                <w:kern w:val="0"/>
                <w:sz w:val="24"/>
                <w:szCs w:val="24"/>
                <w:highlight w:val="none"/>
                <w:lang w:bidi="ar"/>
              </w:rPr>
              <w:t>流程编排：支持自定义业务流程，实现复杂任务的自动化执行。</w:t>
            </w:r>
          </w:p>
          <w:p w14:paraId="26E2EA56">
            <w:pPr>
              <w:widowControl/>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4、</w:t>
            </w:r>
            <w:r>
              <w:rPr>
                <w:rFonts w:hint="eastAsia" w:ascii="仿宋" w:hAnsi="仿宋" w:eastAsia="仿宋" w:cs="仿宋"/>
                <w:color w:val="auto"/>
                <w:kern w:val="0"/>
                <w:sz w:val="24"/>
                <w:szCs w:val="24"/>
                <w:highlight w:val="none"/>
                <w:lang w:bidi="ar"/>
              </w:rPr>
              <w:t>预测分析：基于历史数据，生成生产需求、设备维护等预测报告。</w:t>
            </w:r>
          </w:p>
          <w:p w14:paraId="53D369CF">
            <w:pPr>
              <w:widowControl/>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5、</w:t>
            </w:r>
            <w:r>
              <w:rPr>
                <w:rFonts w:hint="eastAsia" w:ascii="仿宋" w:hAnsi="仿宋" w:eastAsia="仿宋" w:cs="仿宋"/>
                <w:color w:val="auto"/>
                <w:kern w:val="0"/>
                <w:sz w:val="24"/>
                <w:szCs w:val="24"/>
                <w:highlight w:val="none"/>
                <w:lang w:bidi="ar"/>
              </w:rPr>
              <w:t>报表生成：自动生成生产、库存、质量等多维度报表，提升管理效率。</w:t>
            </w:r>
          </w:p>
        </w:tc>
        <w:tc>
          <w:tcPr>
            <w:tcW w:w="2043" w:type="dxa"/>
            <w:tcBorders>
              <w:top w:val="single" w:color="auto" w:sz="4" w:space="0"/>
              <w:left w:val="nil"/>
              <w:bottom w:val="single" w:color="auto" w:sz="4" w:space="0"/>
              <w:right w:val="single" w:color="auto" w:sz="4" w:space="0"/>
            </w:tcBorders>
            <w:shd w:val="clear" w:color="auto" w:fill="auto"/>
            <w:vAlign w:val="center"/>
          </w:tcPr>
          <w:p w14:paraId="59CF7F0C">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5万元-30万元/场景</w:t>
            </w:r>
          </w:p>
        </w:tc>
        <w:tc>
          <w:tcPr>
            <w:tcW w:w="2850" w:type="dxa"/>
            <w:tcBorders>
              <w:top w:val="single" w:color="auto" w:sz="4" w:space="0"/>
              <w:left w:val="nil"/>
              <w:bottom w:val="single" w:color="auto" w:sz="4" w:space="0"/>
              <w:right w:val="single" w:color="auto" w:sz="4" w:space="0"/>
            </w:tcBorders>
            <w:shd w:val="clear" w:color="auto" w:fill="auto"/>
            <w:vAlign w:val="center"/>
          </w:tcPr>
          <w:p w14:paraId="0E54F654">
            <w:pPr>
              <w:pStyle w:val="2"/>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highlight w:val="none"/>
                <w:lang w:val="en-US" w:eastAsia="zh-CN" w:bidi="ar"/>
              </w:rPr>
              <w:t>新增</w:t>
            </w:r>
          </w:p>
        </w:tc>
      </w:tr>
      <w:tr w14:paraId="35D4AFDC">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5726F320">
            <w:pPr>
              <w:widowControl/>
              <w:numPr>
                <w:ilvl w:val="0"/>
                <w:numId w:val="2"/>
              </w:numPr>
              <w:ind w:left="425" w:leftChars="0" w:hanging="425" w:firstLineChars="0"/>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5A2F83E8">
            <w:pPr>
              <w:widowControl/>
              <w:jc w:val="center"/>
              <w:textAlignment w:val="center"/>
              <w:rPr>
                <w:rFonts w:hint="eastAsia" w:ascii="仿宋" w:hAnsi="仿宋" w:cs="仿宋"/>
                <w:color w:val="auto"/>
                <w:kern w:val="0"/>
                <w:sz w:val="24"/>
                <w:szCs w:val="24"/>
                <w:highlight w:val="none"/>
                <w:lang w:bidi="ar"/>
              </w:rPr>
            </w:pPr>
            <w:r>
              <w:rPr>
                <w:rFonts w:hint="eastAsia" w:ascii="仿宋" w:hAnsi="仿宋" w:cs="仿宋"/>
                <w:color w:val="auto"/>
                <w:kern w:val="0"/>
                <w:sz w:val="24"/>
                <w:szCs w:val="24"/>
                <w:highlight w:val="none"/>
                <w:lang w:val="en-US" w:eastAsia="zh-CN" w:bidi="ar"/>
              </w:rPr>
              <w:t>腾一销售预测软件V1.0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3E64A219">
            <w:pPr>
              <w:widowControl/>
              <w:jc w:val="center"/>
              <w:textAlignment w:val="center"/>
              <w:rPr>
                <w:rFonts w:hint="eastAsia" w:ascii="仿宋" w:hAnsi="仿宋" w:cs="仿宋"/>
                <w:color w:val="auto"/>
                <w:kern w:val="0"/>
                <w:sz w:val="24"/>
                <w:szCs w:val="24"/>
                <w:highlight w:val="none"/>
                <w:lang w:bidi="ar"/>
              </w:rPr>
            </w:pPr>
            <w:r>
              <w:rPr>
                <w:rFonts w:hint="eastAsia" w:ascii="仿宋" w:hAnsi="仿宋" w:cs="仿宋"/>
                <w:color w:val="auto"/>
                <w:kern w:val="0"/>
                <w:sz w:val="24"/>
                <w:szCs w:val="24"/>
                <w:highlight w:val="none"/>
                <w:lang w:bidi="ar"/>
              </w:rPr>
              <w:t>通过智能化数据分析提升企业运营效率，其核心目的是整合历史销售记录、回访记录及生产数据，利用算法模型（如时间序列分析或机器学习）生成精准的需求预测，从而指导生产排程、优化库存水平、减少资源浪费，并帮助管理层制定更科学的供应链决策，最终增强供应链协同能力、提高客户满意度及增强市场竞争力的综合目标。</w:t>
            </w:r>
          </w:p>
        </w:tc>
        <w:tc>
          <w:tcPr>
            <w:tcW w:w="4092" w:type="dxa"/>
            <w:tcBorders>
              <w:top w:val="single" w:color="auto" w:sz="4" w:space="0"/>
              <w:left w:val="nil"/>
              <w:bottom w:val="single" w:color="auto" w:sz="4" w:space="0"/>
              <w:right w:val="single" w:color="auto" w:sz="4" w:space="0"/>
            </w:tcBorders>
            <w:shd w:val="clear" w:color="auto" w:fill="auto"/>
            <w:vAlign w:val="center"/>
          </w:tcPr>
          <w:p w14:paraId="0533D5BE">
            <w:pPr>
              <w:widowControl/>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1、客户回访：移动端和网页端的销售回访，业务员可以快速在系统进行回访数据维护。</w:t>
            </w:r>
          </w:p>
          <w:p w14:paraId="4A659391">
            <w:pPr>
              <w:widowControl/>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2、数据管理：能够在系统实时查看到各个业务员的回访数据，精确了解到各个客户的需求和问题。</w:t>
            </w:r>
          </w:p>
          <w:p w14:paraId="22F5772B">
            <w:pPr>
              <w:widowControl/>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3、销售预测：使用算法模型对下个月的销售进行预测计算，生产部门通过预测出来的数据对下月的生产计划进行调整等功能。</w:t>
            </w:r>
          </w:p>
        </w:tc>
        <w:tc>
          <w:tcPr>
            <w:tcW w:w="2043" w:type="dxa"/>
            <w:tcBorders>
              <w:top w:val="single" w:color="auto" w:sz="4" w:space="0"/>
              <w:left w:val="nil"/>
              <w:bottom w:val="single" w:color="auto" w:sz="4" w:space="0"/>
              <w:right w:val="single" w:color="auto" w:sz="4" w:space="0"/>
            </w:tcBorders>
            <w:shd w:val="clear" w:color="auto" w:fill="auto"/>
            <w:vAlign w:val="center"/>
          </w:tcPr>
          <w:p w14:paraId="0E2E6BE4">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30</w:t>
            </w:r>
            <w:r>
              <w:rPr>
                <w:rFonts w:hint="eastAsia" w:ascii="仿宋" w:hAnsi="仿宋" w:eastAsia="仿宋" w:cs="仿宋"/>
                <w:color w:val="auto"/>
                <w:kern w:val="0"/>
                <w:sz w:val="24"/>
                <w:szCs w:val="24"/>
                <w:highlight w:val="none"/>
                <w:lang w:bidi="ar"/>
              </w:rPr>
              <w:t>万元-</w:t>
            </w:r>
            <w:r>
              <w:rPr>
                <w:rFonts w:hint="eastAsia" w:ascii="仿宋" w:hAnsi="仿宋" w:eastAsia="仿宋" w:cs="仿宋"/>
                <w:color w:val="auto"/>
                <w:kern w:val="0"/>
                <w:sz w:val="24"/>
                <w:szCs w:val="24"/>
                <w:highlight w:val="none"/>
                <w:lang w:val="en-US" w:eastAsia="zh-CN" w:bidi="ar"/>
              </w:rPr>
              <w:t>60</w:t>
            </w:r>
            <w:r>
              <w:rPr>
                <w:rFonts w:hint="eastAsia" w:ascii="仿宋" w:hAnsi="仿宋" w:eastAsia="仿宋" w:cs="仿宋"/>
                <w:color w:val="auto"/>
                <w:kern w:val="0"/>
                <w:sz w:val="24"/>
                <w:szCs w:val="24"/>
                <w:highlight w:val="none"/>
                <w:lang w:bidi="ar"/>
              </w:rPr>
              <w:t>万元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6E93D346">
            <w:pPr>
              <w:widowControl/>
              <w:jc w:val="center"/>
              <w:textAlignment w:val="center"/>
              <w:rPr>
                <w:rFonts w:hint="eastAsia" w:ascii="仿宋" w:hAnsi="仿宋" w:eastAsia="仿宋" w:cs="仿宋"/>
                <w:color w:val="auto"/>
                <w:sz w:val="24"/>
                <w:szCs w:val="24"/>
              </w:rPr>
            </w:pPr>
            <w:r>
              <w:rPr>
                <w:rFonts w:hint="eastAsia" w:ascii="仿宋" w:hAnsi="仿宋" w:eastAsia="仿宋" w:cs="仿宋"/>
                <w:color w:val="auto"/>
                <w:kern w:val="0"/>
                <w:sz w:val="24"/>
                <w:szCs w:val="24"/>
                <w:highlight w:val="none"/>
                <w:lang w:val="en-US" w:eastAsia="zh-CN" w:bidi="ar"/>
              </w:rPr>
              <w:t>新增</w:t>
            </w:r>
          </w:p>
        </w:tc>
      </w:tr>
      <w:tr w14:paraId="7715BC34">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775837B6">
            <w:pPr>
              <w:widowControl/>
              <w:numPr>
                <w:ilvl w:val="0"/>
                <w:numId w:val="2"/>
              </w:numPr>
              <w:ind w:left="425" w:leftChars="0" w:hanging="425" w:firstLineChars="0"/>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517EFE65">
            <w:pPr>
              <w:widowControl/>
              <w:textAlignment w:val="center"/>
              <w:rPr>
                <w:rFonts w:hint="eastAsia" w:ascii="仿宋" w:hAnsi="仿宋" w:cs="仿宋"/>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rPr>
              <w:t>金蝶云星空</w:t>
            </w:r>
          </w:p>
        </w:tc>
        <w:tc>
          <w:tcPr>
            <w:tcW w:w="2613" w:type="dxa"/>
            <w:tcBorders>
              <w:top w:val="single" w:color="auto" w:sz="4" w:space="0"/>
              <w:left w:val="nil"/>
              <w:bottom w:val="single" w:color="auto" w:sz="4" w:space="0"/>
              <w:right w:val="single" w:color="auto" w:sz="4" w:space="0"/>
            </w:tcBorders>
            <w:shd w:val="clear" w:color="auto" w:fill="auto"/>
            <w:vAlign w:val="center"/>
          </w:tcPr>
          <w:p w14:paraId="6B61D3D3">
            <w:pPr>
              <w:widowControl/>
              <w:textAlignment w:val="center"/>
              <w:rPr>
                <w:rFonts w:hint="eastAsia" w:ascii="仿宋" w:hAnsi="仿宋" w:cs="仿宋"/>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rPr>
              <w:t>符合佛山市制造业中小企业数字化智能化转型的方向，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4092" w:type="dxa"/>
            <w:tcBorders>
              <w:top w:val="single" w:color="auto" w:sz="4" w:space="0"/>
              <w:left w:val="nil"/>
              <w:bottom w:val="single" w:color="auto" w:sz="4" w:space="0"/>
              <w:right w:val="single" w:color="auto" w:sz="4" w:space="0"/>
            </w:tcBorders>
            <w:shd w:val="clear" w:color="auto" w:fill="auto"/>
            <w:vAlign w:val="center"/>
          </w:tcPr>
          <w:p w14:paraId="6689F126">
            <w:pPr>
              <w:widowControl/>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rPr>
              <w:t>从销售接单，到生产计划、物料采购、仓库进出料管理、质量管理、财务与成本核算，使企业管理更加灵活的面对供需变动。掌握准确及时、完整信息的基础上，做出正确决策，采取准确管理的措施。</w:t>
            </w:r>
          </w:p>
        </w:tc>
        <w:tc>
          <w:tcPr>
            <w:tcW w:w="2043" w:type="dxa"/>
            <w:tcBorders>
              <w:top w:val="single" w:color="auto" w:sz="4" w:space="0"/>
              <w:left w:val="nil"/>
              <w:bottom w:val="single" w:color="auto" w:sz="4" w:space="0"/>
              <w:right w:val="single" w:color="auto" w:sz="4" w:space="0"/>
            </w:tcBorders>
            <w:shd w:val="clear" w:color="auto" w:fill="auto"/>
            <w:vAlign w:val="center"/>
          </w:tcPr>
          <w:p w14:paraId="7C831613">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rPr>
              <w:t>5</w:t>
            </w:r>
            <w:r>
              <w:rPr>
                <w:rFonts w:hint="eastAsia" w:ascii="仿宋" w:hAnsi="仿宋" w:eastAsia="仿宋" w:cs="仿宋"/>
                <w:color w:val="auto"/>
                <w:kern w:val="0"/>
                <w:sz w:val="24"/>
                <w:szCs w:val="24"/>
                <w:highlight w:val="none"/>
                <w:lang w:bidi="ar"/>
              </w:rPr>
              <w:t>万元</w:t>
            </w:r>
            <w:r>
              <w:rPr>
                <w:rFonts w:hint="eastAsia" w:ascii="仿宋" w:hAnsi="仿宋" w:eastAsia="仿宋" w:cs="仿宋"/>
                <w:color w:val="auto"/>
                <w:kern w:val="0"/>
                <w:sz w:val="24"/>
                <w:szCs w:val="24"/>
                <w:highlight w:val="none"/>
              </w:rPr>
              <w:t>-100万</w:t>
            </w:r>
            <w:r>
              <w:rPr>
                <w:rFonts w:hint="eastAsia" w:ascii="仿宋" w:hAnsi="仿宋" w:eastAsia="仿宋" w:cs="仿宋"/>
                <w:color w:val="auto"/>
                <w:kern w:val="0"/>
                <w:sz w:val="24"/>
                <w:szCs w:val="24"/>
                <w:highlight w:val="none"/>
                <w:lang w:bidi="ar"/>
              </w:rPr>
              <w:t>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1F0F374A">
            <w:pPr>
              <w:pStyle w:val="2"/>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highlight w:val="none"/>
                <w:lang w:val="en-US" w:eastAsia="zh-CN" w:bidi="ar"/>
              </w:rPr>
              <w:t>新增</w:t>
            </w:r>
          </w:p>
        </w:tc>
      </w:tr>
    </w:tbl>
    <w:p w14:paraId="0227405D">
      <w:pPr>
        <w:rPr>
          <w:rFonts w:hint="eastAsia"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0704554B">
      <w:pPr>
        <w:spacing w:line="560" w:lineRule="exact"/>
        <w:rPr>
          <w:rFonts w:hint="eastAsia" w:ascii="仿宋_GB2312" w:hAnsi="仿宋_GB2312" w:eastAsia="仿宋_GB2312" w:cs="仿宋_GB2312"/>
          <w:bCs/>
          <w:szCs w:val="28"/>
          <w:lang w:eastAsia="zh-CN"/>
        </w:rPr>
      </w:pPr>
      <w:r>
        <w:rPr>
          <w:rFonts w:hint="eastAsia" w:ascii="仿宋_GB2312" w:hAnsi="仿宋_GB2312" w:eastAsia="仿宋_GB2312" w:cs="仿宋_GB2312"/>
          <w:bCs/>
          <w:sz w:val="32"/>
          <w:szCs w:val="32"/>
        </w:rPr>
        <w:t>（二）联合体成员：</w:t>
      </w:r>
      <w:r>
        <w:rPr>
          <w:rFonts w:hint="eastAsia" w:ascii="仿宋_GB2312" w:hAnsi="仿宋_GB2312" w:eastAsia="仿宋_GB2312" w:cs="仿宋_GB2312"/>
          <w:bCs/>
          <w:szCs w:val="28"/>
        </w:rPr>
        <w:t>中国联合网络通信有限公司佛山市分公司/广东腾一科技有限公司</w:t>
      </w:r>
    </w:p>
    <w:tbl>
      <w:tblPr>
        <w:tblStyle w:val="14"/>
        <w:tblW w:w="0" w:type="auto"/>
        <w:tblInd w:w="113" w:type="dxa"/>
        <w:tblLayout w:type="autofit"/>
        <w:tblCellMar>
          <w:top w:w="0" w:type="dxa"/>
          <w:left w:w="108" w:type="dxa"/>
          <w:bottom w:w="0" w:type="dxa"/>
          <w:right w:w="108" w:type="dxa"/>
        </w:tblCellMar>
      </w:tblPr>
      <w:tblGrid>
        <w:gridCol w:w="746"/>
        <w:gridCol w:w="1392"/>
        <w:gridCol w:w="3456"/>
        <w:gridCol w:w="3878"/>
        <w:gridCol w:w="1538"/>
        <w:gridCol w:w="3051"/>
      </w:tblGrid>
      <w:tr w14:paraId="5CE952D9">
        <w:tblPrEx>
          <w:tblCellMar>
            <w:top w:w="0" w:type="dxa"/>
            <w:left w:w="108" w:type="dxa"/>
            <w:bottom w:w="0" w:type="dxa"/>
            <w:right w:w="108" w:type="dxa"/>
          </w:tblCellMar>
        </w:tblPrEx>
        <w:trPr>
          <w:trHeight w:val="601" w:hRule="atLeast"/>
        </w:trPr>
        <w:tc>
          <w:tcPr>
            <w:tcW w:w="746" w:type="dxa"/>
            <w:tcBorders>
              <w:top w:val="single" w:color="auto" w:sz="4" w:space="0"/>
              <w:left w:val="single" w:color="auto" w:sz="4" w:space="0"/>
              <w:bottom w:val="single" w:color="auto" w:sz="4" w:space="0"/>
              <w:right w:val="single" w:color="auto" w:sz="4" w:space="0"/>
            </w:tcBorders>
            <w:vAlign w:val="center"/>
          </w:tcPr>
          <w:p w14:paraId="64A57E7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392" w:type="dxa"/>
            <w:tcBorders>
              <w:top w:val="single" w:color="auto" w:sz="4" w:space="0"/>
              <w:left w:val="nil"/>
              <w:bottom w:val="single" w:color="auto" w:sz="4" w:space="0"/>
              <w:right w:val="single" w:color="auto" w:sz="4" w:space="0"/>
            </w:tcBorders>
            <w:vAlign w:val="center"/>
          </w:tcPr>
          <w:p w14:paraId="3FFBBF6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456" w:type="dxa"/>
            <w:tcBorders>
              <w:top w:val="single" w:color="auto" w:sz="4" w:space="0"/>
              <w:left w:val="nil"/>
              <w:bottom w:val="single" w:color="auto" w:sz="4" w:space="0"/>
              <w:right w:val="single" w:color="auto" w:sz="4" w:space="0"/>
            </w:tcBorders>
            <w:vAlign w:val="center"/>
          </w:tcPr>
          <w:p w14:paraId="4E01F429">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878" w:type="dxa"/>
            <w:tcBorders>
              <w:top w:val="single" w:color="auto" w:sz="4" w:space="0"/>
              <w:left w:val="nil"/>
              <w:bottom w:val="single" w:color="auto" w:sz="4" w:space="0"/>
              <w:right w:val="single" w:color="auto" w:sz="4" w:space="0"/>
            </w:tcBorders>
            <w:vAlign w:val="center"/>
          </w:tcPr>
          <w:p w14:paraId="3A79EFF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38" w:type="dxa"/>
            <w:tcBorders>
              <w:top w:val="single" w:color="auto" w:sz="4" w:space="0"/>
              <w:left w:val="nil"/>
              <w:bottom w:val="single" w:color="auto" w:sz="4" w:space="0"/>
              <w:right w:val="single" w:color="auto" w:sz="4" w:space="0"/>
            </w:tcBorders>
            <w:vAlign w:val="center"/>
          </w:tcPr>
          <w:p w14:paraId="5A1A9797">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051" w:type="dxa"/>
            <w:tcBorders>
              <w:top w:val="single" w:color="auto" w:sz="4" w:space="0"/>
              <w:left w:val="nil"/>
              <w:bottom w:val="single" w:color="auto" w:sz="4" w:space="0"/>
              <w:right w:val="single" w:color="auto" w:sz="4" w:space="0"/>
            </w:tcBorders>
            <w:vAlign w:val="center"/>
          </w:tcPr>
          <w:p w14:paraId="0BF50D7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588C4325">
        <w:tblPrEx>
          <w:tblCellMar>
            <w:top w:w="0" w:type="dxa"/>
            <w:left w:w="108" w:type="dxa"/>
            <w:bottom w:w="0" w:type="dxa"/>
            <w:right w:w="108" w:type="dxa"/>
          </w:tblCellMar>
        </w:tblPrEx>
        <w:trPr>
          <w:trHeight w:val="601" w:hRule="atLeast"/>
        </w:trPr>
        <w:tc>
          <w:tcPr>
            <w:tcW w:w="746" w:type="dxa"/>
            <w:tcBorders>
              <w:top w:val="single" w:color="auto" w:sz="4" w:space="0"/>
              <w:left w:val="single" w:color="auto" w:sz="4" w:space="0"/>
              <w:bottom w:val="single" w:color="auto" w:sz="4" w:space="0"/>
              <w:right w:val="single" w:color="auto" w:sz="4" w:space="0"/>
            </w:tcBorders>
            <w:vAlign w:val="center"/>
          </w:tcPr>
          <w:p w14:paraId="7306E13F">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276E5E4E">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5G专网自服务平台</w:t>
            </w:r>
          </w:p>
        </w:tc>
        <w:tc>
          <w:tcPr>
            <w:tcW w:w="3456" w:type="dxa"/>
            <w:tcBorders>
              <w:top w:val="single" w:color="auto" w:sz="4" w:space="0"/>
              <w:left w:val="nil"/>
              <w:bottom w:val="single" w:color="auto" w:sz="4" w:space="0"/>
              <w:right w:val="single" w:color="auto" w:sz="4" w:space="0"/>
            </w:tcBorders>
            <w:vAlign w:val="center"/>
          </w:tcPr>
          <w:p w14:paraId="46333E3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面向中小企业的一网统管平台，联通“一揽子”固网移网建设运营方案，网络链路、网络设备、安全设备的资产信息和态势，降低企业网络运维成本。</w:t>
            </w:r>
          </w:p>
        </w:tc>
        <w:tc>
          <w:tcPr>
            <w:tcW w:w="3878" w:type="dxa"/>
            <w:tcBorders>
              <w:top w:val="single" w:color="auto" w:sz="4" w:space="0"/>
              <w:left w:val="nil"/>
              <w:bottom w:val="single" w:color="auto" w:sz="4" w:space="0"/>
              <w:right w:val="single" w:color="auto" w:sz="4" w:space="0"/>
            </w:tcBorders>
            <w:vAlign w:val="center"/>
          </w:tcPr>
          <w:p w14:paraId="1450AD28">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一、网络资产可视:：</w:t>
            </w:r>
          </w:p>
          <w:p w14:paraId="0D1F9C97">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1.企业网络设备监控总览（列表形式呈现纳管设备信息，如资产/台账信息、设备实时状态信息） ；</w:t>
            </w:r>
          </w:p>
          <w:p w14:paraId="78BE8858">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2.企业网络拓扑展示（企业网络的整体架构图，包含逻辑拓扑信息，如拓扑示意图。根据拓扑示意图呈现设备信息，告警信息等，支持点击跳转到设备运行状态）</w:t>
            </w:r>
          </w:p>
          <w:p w14:paraId="771729A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二、网络态势感知:：</w:t>
            </w:r>
          </w:p>
          <w:p w14:paraId="1543563B">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1.网络运行状态；（展示设备关键指标数据，包括“端口-&gt;链路-&gt;设备-&gt;自定义区域”4个维度的数据）</w:t>
            </w:r>
          </w:p>
          <w:p w14:paraId="35A7732E">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2.网络告警管理（支持监控设备当前活动告警、历史告警和告警触发规则设置）</w:t>
            </w:r>
          </w:p>
        </w:tc>
        <w:tc>
          <w:tcPr>
            <w:tcW w:w="1538" w:type="dxa"/>
            <w:tcBorders>
              <w:top w:val="single" w:color="auto" w:sz="4" w:space="0"/>
              <w:left w:val="nil"/>
              <w:bottom w:val="single" w:color="auto" w:sz="4" w:space="0"/>
              <w:right w:val="single" w:color="auto" w:sz="4" w:space="0"/>
            </w:tcBorders>
            <w:vAlign w:val="center"/>
          </w:tcPr>
          <w:p w14:paraId="22DAFE0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2万</w:t>
            </w:r>
            <w:r>
              <w:rPr>
                <w:rFonts w:hint="eastAsia" w:ascii="仿宋" w:hAnsi="仿宋" w:cs="仿宋"/>
                <w:color w:val="000000"/>
                <w:kern w:val="0"/>
                <w:sz w:val="24"/>
                <w:szCs w:val="24"/>
                <w:lang w:bidi="ar"/>
              </w:rPr>
              <w:t>元</w:t>
            </w:r>
          </w:p>
          <w:p w14:paraId="03773467">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-100万</w:t>
            </w:r>
            <w:r>
              <w:rPr>
                <w:rFonts w:hint="eastAsia" w:ascii="仿宋" w:hAnsi="仿宋" w:cs="仿宋"/>
                <w:color w:val="000000"/>
                <w:kern w:val="0"/>
                <w:sz w:val="24"/>
                <w:szCs w:val="24"/>
                <w:lang w:bidi="ar"/>
              </w:rPr>
              <w:t>元</w:t>
            </w:r>
          </w:p>
          <w:p w14:paraId="36F7F4E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平台收费由基础费用和增值服务费用组成：</w:t>
            </w:r>
          </w:p>
          <w:p w14:paraId="7F51AE08">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一、基础服务：3000元/月，提供标准版平台，提供客户自助部署指导手册以及线上工单咨询指导。</w:t>
            </w:r>
          </w:p>
          <w:p w14:paraId="3451E16F">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二、增值服务：</w:t>
            </w:r>
          </w:p>
          <w:p w14:paraId="5182506C">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1.人工部署服务：1000元/人/天，按实际项目需求报价；</w:t>
            </w:r>
          </w:p>
          <w:p w14:paraId="36DA3F62">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2.网络ITO服务：网络优化咨询、网络建设、网络代维等，按实际项目需求报价。</w:t>
            </w:r>
          </w:p>
          <w:p w14:paraId="5903F2B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三、网络服务：智联专线2万</w:t>
            </w:r>
            <w:r>
              <w:rPr>
                <w:rFonts w:hint="eastAsia" w:ascii="仿宋" w:hAnsi="仿宋" w:cs="仿宋"/>
                <w:color w:val="000000"/>
                <w:kern w:val="0"/>
                <w:sz w:val="24"/>
                <w:szCs w:val="24"/>
                <w:lang w:bidi="ar"/>
              </w:rPr>
              <w:t>元</w:t>
            </w:r>
          </w:p>
          <w:p w14:paraId="5A2EA60E">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-50万</w:t>
            </w:r>
            <w:r>
              <w:rPr>
                <w:rFonts w:hint="eastAsia" w:ascii="仿宋" w:hAnsi="仿宋" w:cs="仿宋"/>
                <w:color w:val="000000"/>
                <w:kern w:val="0"/>
                <w:sz w:val="24"/>
                <w:szCs w:val="24"/>
                <w:lang w:bidi="ar"/>
              </w:rPr>
              <w:t>元</w:t>
            </w:r>
          </w:p>
        </w:tc>
        <w:tc>
          <w:tcPr>
            <w:tcW w:w="3051" w:type="dxa"/>
            <w:tcBorders>
              <w:top w:val="single" w:color="auto" w:sz="4" w:space="0"/>
              <w:left w:val="nil"/>
              <w:bottom w:val="single" w:color="auto" w:sz="4" w:space="0"/>
              <w:right w:val="single" w:color="auto" w:sz="4" w:space="0"/>
            </w:tcBorders>
            <w:vAlign w:val="center"/>
          </w:tcPr>
          <w:p w14:paraId="38BFC82E">
            <w:pPr>
              <w:widowControl/>
              <w:jc w:val="left"/>
              <w:textAlignment w:val="center"/>
              <w:rPr>
                <w:rFonts w:hint="eastAsia" w:ascii="仿宋_GB2312" w:hAnsi="仿宋_GB2312" w:eastAsia="仿宋_GB2312" w:cs="仿宋_GB2312"/>
                <w:kern w:val="0"/>
                <w:sz w:val="24"/>
                <w:szCs w:val="24"/>
              </w:rPr>
            </w:pPr>
          </w:p>
        </w:tc>
      </w:tr>
      <w:tr w14:paraId="3C690DBE">
        <w:tblPrEx>
          <w:tblCellMar>
            <w:top w:w="0" w:type="dxa"/>
            <w:left w:w="108" w:type="dxa"/>
            <w:bottom w:w="0" w:type="dxa"/>
            <w:right w:w="108" w:type="dxa"/>
          </w:tblCellMar>
        </w:tblPrEx>
        <w:trPr>
          <w:trHeight w:val="601" w:hRule="atLeast"/>
        </w:trPr>
        <w:tc>
          <w:tcPr>
            <w:tcW w:w="746" w:type="dxa"/>
            <w:tcBorders>
              <w:top w:val="single" w:color="auto" w:sz="4" w:space="0"/>
              <w:left w:val="single" w:color="auto" w:sz="4" w:space="0"/>
              <w:bottom w:val="single" w:color="auto" w:sz="4" w:space="0"/>
              <w:right w:val="single" w:color="auto" w:sz="4" w:space="0"/>
            </w:tcBorders>
            <w:vAlign w:val="center"/>
          </w:tcPr>
          <w:p w14:paraId="75B7227D">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3BE56730">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智慧能源云平台</w:t>
            </w:r>
          </w:p>
        </w:tc>
        <w:tc>
          <w:tcPr>
            <w:tcW w:w="3456" w:type="dxa"/>
            <w:tcBorders>
              <w:top w:val="single" w:color="auto" w:sz="4" w:space="0"/>
              <w:left w:val="nil"/>
              <w:bottom w:val="single" w:color="auto" w:sz="4" w:space="0"/>
              <w:right w:val="single" w:color="auto" w:sz="4" w:space="0"/>
            </w:tcBorders>
            <w:vAlign w:val="center"/>
          </w:tcPr>
          <w:p w14:paraId="622E7D1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面向工业制造企业提供精细化能耗监测、动力设施设备智能控制、新能源在线监测、用能安全管控等数智化服务，帮助用户降低能源消费、提升能效、减少人工运维成本，辅助用户精细化能碳管理</w:t>
            </w:r>
          </w:p>
        </w:tc>
        <w:tc>
          <w:tcPr>
            <w:tcW w:w="3878" w:type="dxa"/>
            <w:tcBorders>
              <w:top w:val="single" w:color="auto" w:sz="4" w:space="0"/>
              <w:left w:val="nil"/>
              <w:bottom w:val="single" w:color="auto" w:sz="4" w:space="0"/>
              <w:right w:val="single" w:color="auto" w:sz="4" w:space="0"/>
            </w:tcBorders>
            <w:vAlign w:val="center"/>
          </w:tcPr>
          <w:p w14:paraId="445EDDB1">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1.能耗监测：电、水、燃气等用能监测及分析，企业能耗云平台集成服务（可与省级/市级能耗监测平台对接）、配电房管理</w:t>
            </w:r>
          </w:p>
          <w:p w14:paraId="7305FCFB">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2.空压智控：空压站能效智控云平台、远程监测、智能反向控制、远程开关机、远程调参数</w:t>
            </w:r>
          </w:p>
          <w:p w14:paraId="5CDA0B2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3.循环水智控：WaterEye 云边智控一体机、水智控集成服务、水系统清洗、水处理服务费</w:t>
            </w:r>
          </w:p>
          <w:p w14:paraId="2A948F7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4.空调智控：中央空调、分体空调、多联机空调远程监测运维、在线巡检、调机调参</w:t>
            </w:r>
          </w:p>
          <w:p w14:paraId="7083016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5.印染定型机热能管理：印染热能动力智慧管理平台、热能系统智能计量、监测报警、任务管理</w:t>
            </w:r>
          </w:p>
          <w:p w14:paraId="594C1A1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6.光伏、储能、充电桩智能监测：光伏/储能/充电云平台,能耗概览、配电监测、系统管理等</w:t>
            </w:r>
          </w:p>
          <w:p w14:paraId="57F60CD7">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7.排放监测：企业排放在线监测平台服务、Vocs在线监测系统等</w:t>
            </w:r>
          </w:p>
          <w:p w14:paraId="027E6970">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8.安心宝：电气火灾、消防水浸、烟感、侵入监测报警</w:t>
            </w:r>
          </w:p>
        </w:tc>
        <w:tc>
          <w:tcPr>
            <w:tcW w:w="1538" w:type="dxa"/>
            <w:tcBorders>
              <w:top w:val="single" w:color="auto" w:sz="4" w:space="0"/>
              <w:left w:val="nil"/>
              <w:bottom w:val="single" w:color="auto" w:sz="4" w:space="0"/>
              <w:right w:val="single" w:color="auto" w:sz="4" w:space="0"/>
            </w:tcBorders>
            <w:vAlign w:val="center"/>
          </w:tcPr>
          <w:p w14:paraId="33DA9E42">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10万</w:t>
            </w:r>
            <w:r>
              <w:rPr>
                <w:rFonts w:hint="eastAsia" w:ascii="仿宋" w:hAnsi="仿宋" w:cs="仿宋"/>
                <w:color w:val="000000"/>
                <w:kern w:val="0"/>
                <w:sz w:val="24"/>
                <w:szCs w:val="24"/>
                <w:lang w:bidi="ar"/>
              </w:rPr>
              <w:t>元</w:t>
            </w:r>
          </w:p>
          <w:p w14:paraId="658E336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-300万</w:t>
            </w:r>
            <w:r>
              <w:rPr>
                <w:rFonts w:hint="eastAsia" w:ascii="仿宋" w:hAnsi="仿宋" w:cs="仿宋"/>
                <w:color w:val="000000"/>
                <w:kern w:val="0"/>
                <w:sz w:val="24"/>
                <w:szCs w:val="24"/>
                <w:lang w:bidi="ar"/>
              </w:rPr>
              <w:t>元</w:t>
            </w:r>
          </w:p>
          <w:p w14:paraId="20AA8A8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平台建设费用、云资源服服务费用根据实际项目需求收取，各模块基础报价如下：</w:t>
            </w:r>
          </w:p>
          <w:p w14:paraId="255B270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1.能耗监测模块：800元-5000元/点位</w:t>
            </w:r>
          </w:p>
          <w:p w14:paraId="7162E57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2.空压智控模块：4万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-6万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/台边缘智控服务器</w:t>
            </w:r>
          </w:p>
          <w:p w14:paraId="45423AD8">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3.水智控模块：3万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-6.5万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/台云边智控一体机</w:t>
            </w:r>
          </w:p>
          <w:p w14:paraId="50C3C3A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4.空调智控模块：5.6万</w:t>
            </w:r>
            <w:r>
              <w:rPr>
                <w:rFonts w:hint="eastAsia" w:ascii="仿宋" w:hAnsi="仿宋" w:cs="仿宋"/>
                <w:color w:val="000000"/>
                <w:kern w:val="0"/>
                <w:sz w:val="24"/>
                <w:szCs w:val="24"/>
                <w:lang w:bidi="ar"/>
              </w:rPr>
              <w:t>元</w:t>
            </w:r>
          </w:p>
          <w:p w14:paraId="405343A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-12万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/监测控制平台</w:t>
            </w:r>
          </w:p>
          <w:p w14:paraId="6C62DAF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5.定型机管理模块：10万</w:t>
            </w:r>
            <w:r>
              <w:rPr>
                <w:rFonts w:hint="eastAsia" w:ascii="仿宋" w:hAnsi="仿宋" w:cs="仿宋"/>
                <w:color w:val="000000"/>
                <w:kern w:val="0"/>
                <w:sz w:val="24"/>
                <w:szCs w:val="24"/>
                <w:lang w:bidi="ar"/>
              </w:rPr>
              <w:t>元</w:t>
            </w:r>
          </w:p>
          <w:p w14:paraId="50159C5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-12万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/定型机智控平台及工控系统</w:t>
            </w:r>
          </w:p>
          <w:p w14:paraId="41B4BDD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6.光储充智慧监测：按需</w:t>
            </w:r>
          </w:p>
          <w:p w14:paraId="5D39618C">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7.排放监测模块：5万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-12万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/监测平台</w:t>
            </w:r>
          </w:p>
          <w:p w14:paraId="3EB1B1DB">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8.安心宝:300元-5000元/点位</w:t>
            </w:r>
          </w:p>
        </w:tc>
        <w:tc>
          <w:tcPr>
            <w:tcW w:w="3051" w:type="dxa"/>
            <w:tcBorders>
              <w:top w:val="single" w:color="auto" w:sz="4" w:space="0"/>
              <w:left w:val="nil"/>
              <w:bottom w:val="single" w:color="auto" w:sz="4" w:space="0"/>
              <w:right w:val="single" w:color="auto" w:sz="4" w:space="0"/>
            </w:tcBorders>
            <w:vAlign w:val="center"/>
          </w:tcPr>
          <w:p w14:paraId="30A30EE7">
            <w:pPr>
              <w:widowControl/>
              <w:jc w:val="left"/>
              <w:textAlignment w:val="center"/>
              <w:rPr>
                <w:rFonts w:hint="eastAsia" w:ascii="仿宋_GB2312" w:hAnsi="仿宋_GB2312" w:eastAsia="仿宋_GB2312" w:cs="仿宋_GB2312"/>
                <w:kern w:val="0"/>
                <w:sz w:val="24"/>
                <w:szCs w:val="24"/>
              </w:rPr>
            </w:pPr>
          </w:p>
        </w:tc>
      </w:tr>
      <w:tr w14:paraId="1A146462">
        <w:tblPrEx>
          <w:tblCellMar>
            <w:top w:w="0" w:type="dxa"/>
            <w:left w:w="108" w:type="dxa"/>
            <w:bottom w:w="0" w:type="dxa"/>
            <w:right w:w="108" w:type="dxa"/>
          </w:tblCellMar>
        </w:tblPrEx>
        <w:trPr>
          <w:trHeight w:val="601" w:hRule="atLeast"/>
        </w:trPr>
        <w:tc>
          <w:tcPr>
            <w:tcW w:w="746" w:type="dxa"/>
            <w:tcBorders>
              <w:top w:val="single" w:color="auto" w:sz="4" w:space="0"/>
              <w:left w:val="single" w:color="auto" w:sz="4" w:space="0"/>
              <w:bottom w:val="single" w:color="auto" w:sz="4" w:space="0"/>
              <w:right w:val="single" w:color="auto" w:sz="4" w:space="0"/>
            </w:tcBorders>
            <w:vAlign w:val="center"/>
          </w:tcPr>
          <w:p w14:paraId="0DE89A9B">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0B5145FF">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设备服务运营平台</w:t>
            </w:r>
          </w:p>
        </w:tc>
        <w:tc>
          <w:tcPr>
            <w:tcW w:w="3456" w:type="dxa"/>
            <w:tcBorders>
              <w:top w:val="single" w:color="auto" w:sz="4" w:space="0"/>
              <w:left w:val="nil"/>
              <w:bottom w:val="single" w:color="auto" w:sz="4" w:space="0"/>
              <w:right w:val="single" w:color="auto" w:sz="4" w:space="0"/>
            </w:tcBorders>
            <w:vAlign w:val="center"/>
          </w:tcPr>
          <w:p w14:paraId="50615BBD">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面向中小企业等智能设备分散、数量多、功能复杂的客户，实现统一监控、管理设备和用户行为</w:t>
            </w:r>
          </w:p>
        </w:tc>
        <w:tc>
          <w:tcPr>
            <w:tcW w:w="3878" w:type="dxa"/>
            <w:tcBorders>
              <w:top w:val="single" w:color="auto" w:sz="4" w:space="0"/>
              <w:left w:val="nil"/>
              <w:bottom w:val="single" w:color="auto" w:sz="4" w:space="0"/>
              <w:right w:val="single" w:color="auto" w:sz="4" w:space="0"/>
            </w:tcBorders>
            <w:vAlign w:val="center"/>
          </w:tcPr>
          <w:p w14:paraId="77B7B6A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 设备管理服务：面向中小企业的各类生产设备、办公设备，以平台为基础，提供数字化设备管理服务；提供IDM设备管理平台许可证、SaaS/APP软件部署等</w:t>
            </w:r>
          </w:p>
          <w:p w14:paraId="377684F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 基于物联技术的设备安全服务：联马设备-定位信标、定位基站，设备定位基础软件</w:t>
            </w:r>
          </w:p>
          <w:p w14:paraId="79A171B7">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 设备AI质检服务：标签打印检测服务、质量溯源服务、AI应用服务</w:t>
            </w:r>
          </w:p>
          <w:p w14:paraId="17D83BE2">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 设备数据采集与分析服务：RFID智慧叉车服务、数据分析服务等各类生产控制研发工具软件服务等</w:t>
            </w:r>
          </w:p>
          <w:p w14:paraId="6AD1F088">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 固定资产管理服务：政府、企业固定资产的盘点需求（笔记本电脑、沙发、空调、执法设备、高净值设备等资产金额大于1000元的固定资产的账务清晰场景）</w:t>
            </w:r>
          </w:p>
          <w:p w14:paraId="5EE1C8C2">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6. 智慧仓储管理服务：WMS、PDA、标签打印机、标签耗材等</w:t>
            </w:r>
          </w:p>
          <w:p w14:paraId="3C9A98D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7. 沃智盒组网服务：含连接、平台和cpe终端使用权和售后运维服务，匹配硬件CPE使用权</w:t>
            </w:r>
          </w:p>
          <w:p w14:paraId="2B3A456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8. 设备租赁服务：cpe、pda、打印机、PAD、生产设备、叉车等设备12期（月）与24期（月）金融垫资服务</w:t>
            </w:r>
          </w:p>
        </w:tc>
        <w:tc>
          <w:tcPr>
            <w:tcW w:w="1538" w:type="dxa"/>
            <w:tcBorders>
              <w:top w:val="single" w:color="auto" w:sz="4" w:space="0"/>
              <w:left w:val="nil"/>
              <w:bottom w:val="single" w:color="auto" w:sz="4" w:space="0"/>
              <w:right w:val="single" w:color="auto" w:sz="4" w:space="0"/>
            </w:tcBorders>
            <w:vAlign w:val="center"/>
          </w:tcPr>
          <w:p w14:paraId="560B3C9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5万</w:t>
            </w:r>
            <w:r>
              <w:rPr>
                <w:rFonts w:hint="eastAsia" w:ascii="仿宋" w:hAnsi="仿宋" w:cs="仿宋"/>
                <w:color w:val="000000"/>
                <w:kern w:val="0"/>
                <w:sz w:val="24"/>
                <w:szCs w:val="24"/>
                <w:lang w:bidi="ar"/>
              </w:rPr>
              <w:t>元</w:t>
            </w:r>
          </w:p>
          <w:p w14:paraId="6D6F5317">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-100万</w:t>
            </w:r>
            <w:r>
              <w:rPr>
                <w:rFonts w:hint="eastAsia" w:ascii="仿宋" w:hAnsi="仿宋" w:cs="仿宋"/>
                <w:color w:val="000000"/>
                <w:kern w:val="0"/>
                <w:sz w:val="24"/>
                <w:szCs w:val="24"/>
                <w:lang w:bidi="ar"/>
              </w:rPr>
              <w:t>元</w:t>
            </w:r>
          </w:p>
          <w:p w14:paraId="2EF3231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1、IDM设备管理平台许可证（license）：</w:t>
            </w:r>
          </w:p>
          <w:p w14:paraId="63AD665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联通云化部署或客户本地化（不含服务器资源）部署：</w:t>
            </w:r>
          </w:p>
          <w:p w14:paraId="325B526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基础版：200元/台/年</w:t>
            </w:r>
          </w:p>
          <w:p w14:paraId="2492233C">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专业版：300元/台/年</w:t>
            </w:r>
          </w:p>
          <w:p w14:paraId="419949F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高级版：400元/台/年</w:t>
            </w:r>
          </w:p>
          <w:p w14:paraId="2D2BBA0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注：本地化部署需提供相关人工服务费用！</w:t>
            </w:r>
          </w:p>
          <w:p w14:paraId="441FA1D2">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人工服务费用：2000元-3500元/人/天</w:t>
            </w:r>
          </w:p>
          <w:p w14:paraId="47A8677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2、设备管理服务（手持终端扫码设备+IDM设备管理平台）：</w:t>
            </w:r>
          </w:p>
          <w:p w14:paraId="5A6385C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标准版：3000元/台（首年）+100元/台/年（续费）</w:t>
            </w:r>
          </w:p>
          <w:p w14:paraId="565E675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高级版：3100元/台（首年）+150元/台/年（续费）</w:t>
            </w:r>
          </w:p>
          <w:p w14:paraId="3DD94E47">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其它：中小企业数字化设备</w:t>
            </w:r>
          </w:p>
          <w:p w14:paraId="19DDE41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3、设备定位服务：5000元/个定位对象，地图绘制5元/平方米。</w:t>
            </w:r>
          </w:p>
          <w:p w14:paraId="360C282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人工服务费用：2000元-3500元/人/天</w:t>
            </w:r>
          </w:p>
          <w:p w14:paraId="180EFEAF">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4、设备标签打印检测服务</w:t>
            </w:r>
          </w:p>
          <w:p w14:paraId="27280D4C">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标签打印检测一体机：2万</w:t>
            </w:r>
            <w:r>
              <w:rPr>
                <w:rFonts w:hint="eastAsia" w:ascii="仿宋" w:hAnsi="仿宋" w:cs="仿宋"/>
                <w:color w:val="000000"/>
                <w:kern w:val="0"/>
                <w:sz w:val="24"/>
                <w:szCs w:val="24"/>
                <w:lang w:bidi="ar"/>
              </w:rPr>
              <w:t>元</w:t>
            </w:r>
          </w:p>
          <w:p w14:paraId="5585878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-3万</w:t>
            </w:r>
            <w:r>
              <w:rPr>
                <w:rFonts w:hint="eastAsia" w:ascii="仿宋" w:hAnsi="仿宋" w:cs="仿宋"/>
                <w:color w:val="000000"/>
                <w:kern w:val="0"/>
                <w:sz w:val="24"/>
                <w:szCs w:val="24"/>
                <w:lang w:bidi="ar"/>
              </w:rPr>
              <w:t>元</w:t>
            </w:r>
          </w:p>
          <w:p w14:paraId="72FB2EBF">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/台</w:t>
            </w:r>
          </w:p>
          <w:p w14:paraId="735CE14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附加人工服务费用：2500元-3000元/人/天</w:t>
            </w:r>
          </w:p>
          <w:p w14:paraId="0B74045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5、联马-RFID智慧叉车套件</w:t>
            </w:r>
          </w:p>
          <w:p w14:paraId="4AC8DE68">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包含：车载平板电脑（含安卓平板电脑、车载安装架和底座）</w:t>
            </w:r>
          </w:p>
          <w:p w14:paraId="13C3B6C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RFID一体化套件标准版（含RFID读写器和天线、测距和测高传感器、蓝牙通讯）</w:t>
            </w:r>
          </w:p>
          <w:p w14:paraId="26EB6C9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标配1块大容量锂电池（含充电器）</w:t>
            </w:r>
          </w:p>
          <w:p w14:paraId="7D08E5B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智能仓储车载终端软件</w:t>
            </w:r>
          </w:p>
          <w:p w14:paraId="7F928488">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总价：34000元-38000元/套</w:t>
            </w:r>
          </w:p>
          <w:p w14:paraId="34B9C2A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6、标准版-固定资产管理服务（8万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-15万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）普通标签</w:t>
            </w:r>
          </w:p>
          <w:p w14:paraId="0E57E260">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高配版-固定资产管理服务（15万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-40万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）RFID电子标签</w:t>
            </w:r>
          </w:p>
        </w:tc>
        <w:tc>
          <w:tcPr>
            <w:tcW w:w="3051" w:type="dxa"/>
            <w:tcBorders>
              <w:top w:val="single" w:color="auto" w:sz="4" w:space="0"/>
              <w:left w:val="nil"/>
              <w:bottom w:val="single" w:color="auto" w:sz="4" w:space="0"/>
              <w:right w:val="single" w:color="auto" w:sz="4" w:space="0"/>
            </w:tcBorders>
            <w:vAlign w:val="center"/>
          </w:tcPr>
          <w:p w14:paraId="776B4EDF">
            <w:pPr>
              <w:widowControl/>
              <w:jc w:val="left"/>
              <w:textAlignment w:val="center"/>
              <w:rPr>
                <w:rFonts w:hint="eastAsia" w:ascii="仿宋_GB2312" w:hAnsi="仿宋_GB2312" w:eastAsia="仿宋_GB2312" w:cs="仿宋_GB2312"/>
                <w:kern w:val="0"/>
                <w:sz w:val="24"/>
                <w:szCs w:val="24"/>
              </w:rPr>
            </w:pPr>
          </w:p>
        </w:tc>
      </w:tr>
      <w:tr w14:paraId="14A16699">
        <w:tblPrEx>
          <w:tblCellMar>
            <w:top w:w="0" w:type="dxa"/>
            <w:left w:w="108" w:type="dxa"/>
            <w:bottom w:w="0" w:type="dxa"/>
            <w:right w:w="108" w:type="dxa"/>
          </w:tblCellMar>
        </w:tblPrEx>
        <w:trPr>
          <w:trHeight w:val="601" w:hRule="atLeast"/>
        </w:trPr>
        <w:tc>
          <w:tcPr>
            <w:tcW w:w="746" w:type="dxa"/>
            <w:tcBorders>
              <w:top w:val="single" w:color="auto" w:sz="4" w:space="0"/>
              <w:left w:val="single" w:color="auto" w:sz="4" w:space="0"/>
              <w:bottom w:val="single" w:color="auto" w:sz="4" w:space="0"/>
              <w:right w:val="single" w:color="auto" w:sz="4" w:space="0"/>
            </w:tcBorders>
            <w:vAlign w:val="center"/>
          </w:tcPr>
          <w:p w14:paraId="007A6AE9">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78B76E30">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智慧园区平台</w:t>
            </w:r>
          </w:p>
        </w:tc>
        <w:tc>
          <w:tcPr>
            <w:tcW w:w="3456" w:type="dxa"/>
            <w:tcBorders>
              <w:top w:val="single" w:color="auto" w:sz="4" w:space="0"/>
              <w:left w:val="nil"/>
              <w:bottom w:val="single" w:color="auto" w:sz="4" w:space="0"/>
              <w:right w:val="single" w:color="auto" w:sz="4" w:space="0"/>
            </w:tcBorders>
            <w:vAlign w:val="center"/>
          </w:tcPr>
          <w:p w14:paraId="2DE3393E">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面向中小微园区、商办楼宇、入园企业的客户群体，提供物业管理、智慧安防、智慧办公、智慧物联、宿舍管理等标准化功能服务，助力客户降本提效增收。</w:t>
            </w:r>
          </w:p>
        </w:tc>
        <w:tc>
          <w:tcPr>
            <w:tcW w:w="3878" w:type="dxa"/>
            <w:tcBorders>
              <w:top w:val="single" w:color="auto" w:sz="4" w:space="0"/>
              <w:left w:val="nil"/>
              <w:bottom w:val="single" w:color="auto" w:sz="4" w:space="0"/>
              <w:right w:val="single" w:color="auto" w:sz="4" w:space="0"/>
            </w:tcBorders>
            <w:vAlign w:val="center"/>
          </w:tcPr>
          <w:p w14:paraId="4839351C">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1.智慧安防</w:t>
            </w:r>
          </w:p>
          <w:p w14:paraId="674FDEBD">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提供视频监控、访客管理、门禁管理、停车管理、巡更管理等功能功能。</w:t>
            </w:r>
          </w:p>
          <w:p w14:paraId="44703316">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2.智慧办公</w:t>
            </w:r>
          </w:p>
          <w:p w14:paraId="7703437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提供考勤管理、宿舍管理、会议室管理、场馆预约、公车管理等功能服务。</w:t>
            </w:r>
          </w:p>
          <w:p w14:paraId="6C96A726">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3.物业管理</w:t>
            </w:r>
          </w:p>
          <w:p w14:paraId="16CEC438">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提供物业报修、物业评价、园区公告、手机抄表、学习中心、培训材料等功能服务。</w:t>
            </w:r>
          </w:p>
          <w:p w14:paraId="10EB988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4.基础功能</w:t>
            </w:r>
          </w:p>
          <w:p w14:paraId="50D0923C">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多租户管理、组织人员车辆单元管理、OA审批、园区定制数据大屏、工单管理等功能服务。</w:t>
            </w:r>
          </w:p>
        </w:tc>
        <w:tc>
          <w:tcPr>
            <w:tcW w:w="1538" w:type="dxa"/>
            <w:tcBorders>
              <w:top w:val="single" w:color="auto" w:sz="4" w:space="0"/>
              <w:left w:val="nil"/>
              <w:bottom w:val="single" w:color="auto" w:sz="4" w:space="0"/>
              <w:right w:val="single" w:color="auto" w:sz="4" w:space="0"/>
            </w:tcBorders>
            <w:vAlign w:val="center"/>
          </w:tcPr>
          <w:p w14:paraId="1A1073E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1万</w:t>
            </w:r>
            <w:r>
              <w:rPr>
                <w:rFonts w:hint="eastAsia" w:ascii="仿宋" w:hAnsi="仿宋" w:cs="仿宋"/>
                <w:color w:val="000000"/>
                <w:kern w:val="0"/>
                <w:sz w:val="24"/>
                <w:szCs w:val="24"/>
                <w:lang w:bidi="ar"/>
              </w:rPr>
              <w:t>元</w:t>
            </w:r>
          </w:p>
          <w:p w14:paraId="756E79DC">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-200万</w:t>
            </w:r>
            <w:r>
              <w:rPr>
                <w:rFonts w:hint="eastAsia" w:ascii="仿宋" w:hAnsi="仿宋" w:cs="仿宋"/>
                <w:color w:val="000000"/>
                <w:kern w:val="0"/>
                <w:sz w:val="24"/>
                <w:szCs w:val="24"/>
                <w:lang w:bidi="ar"/>
              </w:rPr>
              <w:t>元</w:t>
            </w:r>
          </w:p>
          <w:p w14:paraId="24C63FA8">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1.基础服务：2000元/年/租户，包括物业管理、基础功能等软件功能</w:t>
            </w:r>
          </w:p>
          <w:p w14:paraId="229AC53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2.增值服务：2000元/人/天（按工作量）</w:t>
            </w:r>
          </w:p>
          <w:p w14:paraId="2F84F53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1）系统对接：利旧设备对接、外部系统对接；</w:t>
            </w:r>
          </w:p>
          <w:p w14:paraId="3AB1722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2）功能开发：数据大屏、新增功能等定制化开发。</w:t>
            </w:r>
          </w:p>
          <w:p w14:paraId="0A64334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3）设备套餐：安防、办公类等设备采购/租赁服务；</w:t>
            </w:r>
          </w:p>
          <w:p w14:paraId="00E9E062">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4）配套服务：AI、网络、云服务。</w:t>
            </w:r>
          </w:p>
        </w:tc>
        <w:tc>
          <w:tcPr>
            <w:tcW w:w="3051" w:type="dxa"/>
            <w:tcBorders>
              <w:top w:val="single" w:color="auto" w:sz="4" w:space="0"/>
              <w:left w:val="nil"/>
              <w:bottom w:val="single" w:color="auto" w:sz="4" w:space="0"/>
              <w:right w:val="single" w:color="auto" w:sz="4" w:space="0"/>
            </w:tcBorders>
            <w:vAlign w:val="center"/>
          </w:tcPr>
          <w:p w14:paraId="7313A3D6">
            <w:pPr>
              <w:widowControl/>
              <w:jc w:val="left"/>
              <w:textAlignment w:val="center"/>
              <w:rPr>
                <w:rFonts w:hint="eastAsia" w:ascii="仿宋_GB2312" w:hAnsi="仿宋_GB2312" w:eastAsia="仿宋_GB2312" w:cs="仿宋_GB2312"/>
                <w:kern w:val="0"/>
                <w:sz w:val="24"/>
                <w:szCs w:val="24"/>
              </w:rPr>
            </w:pPr>
          </w:p>
        </w:tc>
      </w:tr>
      <w:tr w14:paraId="09A0376D">
        <w:tblPrEx>
          <w:tblCellMar>
            <w:top w:w="0" w:type="dxa"/>
            <w:left w:w="108" w:type="dxa"/>
            <w:bottom w:w="0" w:type="dxa"/>
            <w:right w:w="108" w:type="dxa"/>
          </w:tblCellMar>
        </w:tblPrEx>
        <w:trPr>
          <w:trHeight w:val="601" w:hRule="atLeast"/>
        </w:trPr>
        <w:tc>
          <w:tcPr>
            <w:tcW w:w="746" w:type="dxa"/>
            <w:tcBorders>
              <w:top w:val="single" w:color="auto" w:sz="4" w:space="0"/>
              <w:left w:val="single" w:color="auto" w:sz="4" w:space="0"/>
              <w:bottom w:val="single" w:color="auto" w:sz="4" w:space="0"/>
              <w:right w:val="single" w:color="auto" w:sz="4" w:space="0"/>
            </w:tcBorders>
            <w:vAlign w:val="center"/>
          </w:tcPr>
          <w:p w14:paraId="252AF781">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251BAEEB">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天穹多云管理平台</w:t>
            </w:r>
          </w:p>
        </w:tc>
        <w:tc>
          <w:tcPr>
            <w:tcW w:w="3456" w:type="dxa"/>
            <w:tcBorders>
              <w:top w:val="single" w:color="auto" w:sz="4" w:space="0"/>
              <w:left w:val="nil"/>
              <w:bottom w:val="single" w:color="auto" w:sz="4" w:space="0"/>
              <w:right w:val="single" w:color="auto" w:sz="4" w:space="0"/>
            </w:tcBorders>
            <w:vAlign w:val="center"/>
          </w:tcPr>
          <w:p w14:paraId="5332789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向混合云客户及有成本管控、运营需求的工业客户提供云资源服务；应对有数据备份需求，对安全性要求高，业务不能中断的客户，通过沃云备，提供备份容灾服务。</w:t>
            </w:r>
          </w:p>
        </w:tc>
        <w:tc>
          <w:tcPr>
            <w:tcW w:w="3878" w:type="dxa"/>
            <w:tcBorders>
              <w:top w:val="single" w:color="auto" w:sz="4" w:space="0"/>
              <w:left w:val="nil"/>
              <w:bottom w:val="single" w:color="auto" w:sz="4" w:space="0"/>
              <w:right w:val="single" w:color="auto" w:sz="4" w:space="0"/>
            </w:tcBorders>
            <w:vAlign w:val="center"/>
          </w:tcPr>
          <w:p w14:paraId="54B2E60C">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1.云网管理模块：多云纳管、云网融合、智能监控、智能运营；</w:t>
            </w:r>
          </w:p>
          <w:p w14:paraId="68744B62">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2.数据备份与系统容灾模块：集合了数据备份、数据容灾、数据高可用等功能的企业级数据安全保护平台，保护企业的操作系统、数据库、应用、文件、虚拟机、对象存储等数据，</w:t>
            </w:r>
          </w:p>
        </w:tc>
        <w:tc>
          <w:tcPr>
            <w:tcW w:w="1538" w:type="dxa"/>
            <w:tcBorders>
              <w:top w:val="single" w:color="auto" w:sz="4" w:space="0"/>
              <w:left w:val="nil"/>
              <w:bottom w:val="single" w:color="auto" w:sz="4" w:space="0"/>
              <w:right w:val="single" w:color="auto" w:sz="4" w:space="0"/>
            </w:tcBorders>
            <w:vAlign w:val="center"/>
          </w:tcPr>
          <w:p w14:paraId="29FA4BC7">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10万</w:t>
            </w:r>
            <w:r>
              <w:rPr>
                <w:rFonts w:hint="eastAsia" w:ascii="仿宋" w:hAnsi="仿宋" w:cs="仿宋"/>
                <w:color w:val="000000"/>
                <w:kern w:val="0"/>
                <w:sz w:val="24"/>
                <w:szCs w:val="24"/>
                <w:lang w:bidi="ar"/>
              </w:rPr>
              <w:t>元</w:t>
            </w:r>
          </w:p>
          <w:p w14:paraId="2E286D4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-200万</w:t>
            </w:r>
            <w:r>
              <w:rPr>
                <w:rFonts w:hint="eastAsia" w:ascii="仿宋" w:hAnsi="仿宋" w:cs="仿宋"/>
                <w:color w:val="000000"/>
                <w:kern w:val="0"/>
                <w:sz w:val="24"/>
                <w:szCs w:val="24"/>
                <w:lang w:bidi="ar"/>
              </w:rPr>
              <w:t>元</w:t>
            </w:r>
          </w:p>
          <w:p w14:paraId="7FF4EBE8">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1.基础多云管理服务模块：10万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（可纳管13个国内外主流云商，包括阿里、华为、腾讯、微软、紫光等）</w:t>
            </w:r>
          </w:p>
          <w:p w14:paraId="3F41E05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2.数据备份与系统容灾服务模块：</w:t>
            </w:r>
          </w:p>
          <w:p w14:paraId="0BB490AC">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（1）云端备份</w:t>
            </w:r>
          </w:p>
          <w:p w14:paraId="0A535CC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纯saas：300元/T/月</w:t>
            </w:r>
          </w:p>
          <w:p w14:paraId="12CB535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Iaas+Saas：600元/T/月</w:t>
            </w:r>
          </w:p>
          <w:p w14:paraId="502819A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（2）带本地前置机的云端备份</w:t>
            </w:r>
          </w:p>
          <w:p w14:paraId="020B3FA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纯saas：600元/T/月</w:t>
            </w:r>
          </w:p>
          <w:p w14:paraId="63E962EB">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Iaas+Saas：900元/T/月</w:t>
            </w:r>
          </w:p>
        </w:tc>
        <w:tc>
          <w:tcPr>
            <w:tcW w:w="3051" w:type="dxa"/>
            <w:tcBorders>
              <w:top w:val="single" w:color="auto" w:sz="4" w:space="0"/>
              <w:left w:val="nil"/>
              <w:bottom w:val="single" w:color="auto" w:sz="4" w:space="0"/>
              <w:right w:val="single" w:color="auto" w:sz="4" w:space="0"/>
            </w:tcBorders>
            <w:vAlign w:val="center"/>
          </w:tcPr>
          <w:p w14:paraId="41BE5BC9">
            <w:pPr>
              <w:widowControl/>
              <w:jc w:val="left"/>
              <w:textAlignment w:val="center"/>
              <w:rPr>
                <w:rFonts w:hint="eastAsia" w:ascii="仿宋_GB2312" w:hAnsi="仿宋_GB2312" w:eastAsia="仿宋_GB2312" w:cs="仿宋_GB2312"/>
                <w:kern w:val="0"/>
                <w:sz w:val="24"/>
                <w:szCs w:val="24"/>
              </w:rPr>
            </w:pPr>
          </w:p>
        </w:tc>
      </w:tr>
      <w:tr w14:paraId="490BA77B">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481B3C48">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05656B59">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装备云</w:t>
            </w:r>
          </w:p>
        </w:tc>
        <w:tc>
          <w:tcPr>
            <w:tcW w:w="3456" w:type="dxa"/>
            <w:tcBorders>
              <w:top w:val="single" w:color="auto" w:sz="4" w:space="0"/>
              <w:left w:val="nil"/>
              <w:bottom w:val="single" w:color="auto" w:sz="4" w:space="0"/>
              <w:right w:val="single" w:color="auto" w:sz="4" w:space="0"/>
            </w:tcBorders>
            <w:vAlign w:val="center"/>
          </w:tcPr>
          <w:p w14:paraId="1BAA9BD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面向设备厂商和工厂两大类工业制造企业提供的一个集装备数据采集</w:t>
            </w:r>
          </w:p>
        </w:tc>
        <w:tc>
          <w:tcPr>
            <w:tcW w:w="3878" w:type="dxa"/>
            <w:tcBorders>
              <w:top w:val="single" w:color="auto" w:sz="4" w:space="0"/>
              <w:left w:val="nil"/>
              <w:bottom w:val="single" w:color="auto" w:sz="4" w:space="0"/>
              <w:right w:val="single" w:color="auto" w:sz="4" w:space="0"/>
            </w:tcBorders>
            <w:vAlign w:val="center"/>
          </w:tcPr>
          <w:p w14:paraId="0B72DBE6">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设备管理模块：台账管理、维修管理、点巡检管理、巡检管理、备件管理、数字化看板与分析。</w:t>
            </w:r>
          </w:p>
          <w:p w14:paraId="7D5347C3">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注塑机联网模块：数据管理系统、数字化看板与分析、无纸化生产及质检记录、生产和设备状态监控、生产计划导入和排程等、定制化开发。</w:t>
            </w:r>
          </w:p>
          <w:p w14:paraId="223634C8">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机加设备联网模块：全面设备管理TPM、刀具管理TDI、人员管理PMS、设备状态MDC、加工产量MDC、工单管理JOB、报警管理MDC、产品追溯ProTrack、产线可视化等。</w:t>
            </w:r>
          </w:p>
          <w:p w14:paraId="4C038CA9">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通用设备联网模块：数字驾驶舱、数字工位、效率管理、设备管理、能耗管理、报表管理、角色分发等。</w:t>
            </w:r>
          </w:p>
        </w:tc>
        <w:tc>
          <w:tcPr>
            <w:tcW w:w="1538" w:type="dxa"/>
            <w:tcBorders>
              <w:top w:val="single" w:color="auto" w:sz="4" w:space="0"/>
              <w:left w:val="nil"/>
              <w:bottom w:val="single" w:color="auto" w:sz="4" w:space="0"/>
              <w:right w:val="single" w:color="auto" w:sz="4" w:space="0"/>
            </w:tcBorders>
            <w:vAlign w:val="center"/>
          </w:tcPr>
          <w:p w14:paraId="2162B49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10万元</w:t>
            </w:r>
          </w:p>
          <w:p w14:paraId="79FD4941">
            <w:pPr>
              <w:widowControl/>
              <w:ind w:right="-171" w:rightChars="-61" w:firstLine="220" w:firstLineChars="100"/>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-30万元</w:t>
            </w:r>
          </w:p>
          <w:p w14:paraId="450FB692">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设备管理模块：5万元</w:t>
            </w:r>
          </w:p>
          <w:p w14:paraId="6CC61F1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-8万元/套</w:t>
            </w:r>
          </w:p>
          <w:p w14:paraId="545751F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注塑机联网模块：3500元-6000元/台</w:t>
            </w:r>
          </w:p>
          <w:p w14:paraId="06C320BF">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机加设备联网模块：4000元-8000元/台</w:t>
            </w:r>
          </w:p>
          <w:p w14:paraId="18AEE54E">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通用设备联网模块：3500元-6000元/台</w:t>
            </w:r>
          </w:p>
        </w:tc>
        <w:tc>
          <w:tcPr>
            <w:tcW w:w="3051" w:type="dxa"/>
            <w:tcBorders>
              <w:top w:val="single" w:color="auto" w:sz="4" w:space="0"/>
              <w:left w:val="nil"/>
              <w:bottom w:val="single" w:color="auto" w:sz="4" w:space="0"/>
              <w:right w:val="single" w:color="auto" w:sz="4" w:space="0"/>
            </w:tcBorders>
            <w:vAlign w:val="center"/>
          </w:tcPr>
          <w:p w14:paraId="6819C8EB">
            <w:pPr>
              <w:widowControl/>
              <w:jc w:val="left"/>
              <w:textAlignment w:val="center"/>
              <w:rPr>
                <w:rFonts w:hint="eastAsia" w:ascii="仿宋_GB2312" w:hAnsi="仿宋_GB2312" w:eastAsia="仿宋_GB2312" w:cs="仿宋_GB2312"/>
                <w:kern w:val="0"/>
                <w:sz w:val="24"/>
                <w:szCs w:val="24"/>
              </w:rPr>
            </w:pPr>
          </w:p>
        </w:tc>
      </w:tr>
      <w:tr w14:paraId="3A8D9016">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53833FC3">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67C6676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5G天极平台</w:t>
            </w:r>
          </w:p>
        </w:tc>
        <w:tc>
          <w:tcPr>
            <w:tcW w:w="3456" w:type="dxa"/>
            <w:tcBorders>
              <w:top w:val="single" w:color="auto" w:sz="4" w:space="0"/>
              <w:left w:val="nil"/>
              <w:bottom w:val="single" w:color="auto" w:sz="4" w:space="0"/>
              <w:right w:val="single" w:color="auto" w:sz="4" w:space="0"/>
            </w:tcBorders>
            <w:vAlign w:val="center"/>
          </w:tcPr>
          <w:p w14:paraId="5A700698">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面向政府/园区/企业提供公共服务平台、园区5G创新服务平台、5G全连接工厂管理平台，实现5G应用与5G云网数据融通、可视化展示，助力5G+工业互联网发展</w:t>
            </w:r>
          </w:p>
        </w:tc>
        <w:tc>
          <w:tcPr>
            <w:tcW w:w="3878" w:type="dxa"/>
            <w:tcBorders>
              <w:top w:val="single" w:color="auto" w:sz="4" w:space="0"/>
              <w:left w:val="nil"/>
              <w:bottom w:val="single" w:color="auto" w:sz="4" w:space="0"/>
              <w:right w:val="single" w:color="auto" w:sz="4" w:space="0"/>
            </w:tcBorders>
            <w:vAlign w:val="center"/>
          </w:tcPr>
          <w:p w14:paraId="433B717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5G天极·全连接工厂</w:t>
            </w:r>
          </w:p>
          <w:p w14:paraId="45BCC43D">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1.5G专网集成分析：5G建设指数、5G网络质量评分、5G网络态势感知、基站分布地图、异常综合告警</w:t>
            </w:r>
          </w:p>
          <w:p w14:paraId="204EFE0D">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2.数字工厂应用集成分析：5G应用单点登录、关键指标提取分析、厂区/园区建模</w:t>
            </w:r>
          </w:p>
          <w:p w14:paraId="547ABD94">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3.5G天极平台底座：平台数据融通分析服务</w:t>
            </w:r>
          </w:p>
          <w:p w14:paraId="18E1501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5G天极·公共服务平台</w:t>
            </w:r>
          </w:p>
          <w:p w14:paraId="7768EF6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1.5G基础设施概览：5G云网建设指数、基站分布地图</w:t>
            </w:r>
          </w:p>
          <w:p w14:paraId="52DE613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2.5G融合应用分析：5G应用建设指数、5G应用渗透率分析、区域3D地图</w:t>
            </w:r>
          </w:p>
          <w:p w14:paraId="218D775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3.专网应用融合数据分析：5G+工业互联网发展评分、区域政策资讯</w:t>
            </w:r>
          </w:p>
          <w:p w14:paraId="557BEA2D">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4.5G天极平台底座：平台数据融通分析服务</w:t>
            </w:r>
          </w:p>
        </w:tc>
        <w:tc>
          <w:tcPr>
            <w:tcW w:w="1538" w:type="dxa"/>
            <w:tcBorders>
              <w:top w:val="single" w:color="auto" w:sz="4" w:space="0"/>
              <w:left w:val="nil"/>
              <w:bottom w:val="single" w:color="auto" w:sz="4" w:space="0"/>
              <w:right w:val="single" w:color="auto" w:sz="4" w:space="0"/>
            </w:tcBorders>
            <w:vAlign w:val="center"/>
          </w:tcPr>
          <w:p w14:paraId="17A162A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10万元-300万</w:t>
            </w:r>
            <w:r>
              <w:rPr>
                <w:rFonts w:hint="eastAsia" w:ascii="仿宋" w:hAnsi="仿宋" w:cs="仿宋"/>
                <w:color w:val="000000"/>
                <w:kern w:val="0"/>
                <w:sz w:val="24"/>
                <w:szCs w:val="24"/>
                <w:lang w:bidi="ar"/>
              </w:rPr>
              <w:t>元</w:t>
            </w:r>
          </w:p>
          <w:p w14:paraId="0B94C152">
            <w:pPr>
              <w:widowControl/>
              <w:ind w:right="-171" w:rightChars="-61"/>
              <w:jc w:val="center"/>
              <w:textAlignment w:val="center"/>
              <w:rPr>
                <w:rFonts w:hint="eastAsia" w:ascii="仿宋" w:hAnsi="仿宋" w:cs="仿宋"/>
                <w:color w:val="000000"/>
                <w:kern w:val="0"/>
                <w:sz w:val="22"/>
                <w:szCs w:val="22"/>
                <w:lang w:bidi="ar"/>
              </w:rPr>
            </w:pPr>
          </w:p>
          <w:p w14:paraId="0B05A272">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5G天极·全连接工厂：10万元-300万</w:t>
            </w:r>
            <w:r>
              <w:rPr>
                <w:rFonts w:hint="eastAsia" w:ascii="仿宋" w:hAnsi="仿宋" w:cs="仿宋"/>
                <w:color w:val="000000"/>
                <w:kern w:val="0"/>
                <w:sz w:val="24"/>
                <w:szCs w:val="24"/>
                <w:lang w:bidi="ar"/>
              </w:rPr>
              <w:t>元</w:t>
            </w:r>
          </w:p>
          <w:p w14:paraId="08B04CE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5G天极·公共服务平台：100万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-500万</w:t>
            </w:r>
            <w:r>
              <w:rPr>
                <w:rFonts w:hint="eastAsia" w:ascii="仿宋" w:hAnsi="仿宋" w:cs="仿宋"/>
                <w:color w:val="000000"/>
                <w:kern w:val="0"/>
                <w:sz w:val="24"/>
                <w:szCs w:val="24"/>
                <w:lang w:bidi="ar"/>
              </w:rPr>
              <w:t>元</w:t>
            </w:r>
          </w:p>
        </w:tc>
        <w:tc>
          <w:tcPr>
            <w:tcW w:w="3051" w:type="dxa"/>
            <w:tcBorders>
              <w:top w:val="single" w:color="auto" w:sz="4" w:space="0"/>
              <w:left w:val="nil"/>
              <w:bottom w:val="single" w:color="auto" w:sz="4" w:space="0"/>
              <w:right w:val="single" w:color="auto" w:sz="4" w:space="0"/>
            </w:tcBorders>
            <w:vAlign w:val="center"/>
          </w:tcPr>
          <w:p w14:paraId="474186F5">
            <w:pPr>
              <w:widowControl/>
              <w:jc w:val="left"/>
              <w:textAlignment w:val="center"/>
              <w:rPr>
                <w:rFonts w:hint="eastAsia" w:ascii="仿宋_GB2312" w:hAnsi="仿宋_GB2312" w:eastAsia="仿宋_GB2312" w:cs="仿宋_GB2312"/>
                <w:kern w:val="0"/>
                <w:sz w:val="24"/>
                <w:szCs w:val="24"/>
              </w:rPr>
            </w:pPr>
          </w:p>
        </w:tc>
      </w:tr>
      <w:tr w14:paraId="66E27CE5">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731E8421">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763AC8B8">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eastAsia="仿宋_GB2312" w:cs="仿宋"/>
                <w:color w:val="auto"/>
                <w:kern w:val="0"/>
                <w:sz w:val="24"/>
                <w:szCs w:val="24"/>
                <w:lang w:val="en-US" w:eastAsia="zh-CN" w:bidi="ar"/>
              </w:rPr>
              <w:t>AI智能视觉平台</w:t>
            </w:r>
          </w:p>
        </w:tc>
        <w:tc>
          <w:tcPr>
            <w:tcW w:w="3456" w:type="dxa"/>
            <w:tcBorders>
              <w:top w:val="single" w:color="auto" w:sz="4" w:space="0"/>
              <w:left w:val="nil"/>
              <w:bottom w:val="single" w:color="auto" w:sz="4" w:space="0"/>
              <w:right w:val="single" w:color="auto" w:sz="4" w:space="0"/>
            </w:tcBorders>
            <w:vAlign w:val="center"/>
          </w:tcPr>
          <w:p w14:paraId="54342FC9">
            <w:pPr>
              <w:widowControl/>
              <w:ind w:right="-154" w:rightChars="-55"/>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AI合规：面向工业制造各类工厂，包括车间、厂房、厂区、办公区，深度嵌入人机料法环全面质量管理各环节，提供依客户需求定制的实时监测预警和事后调阅取证的整体解决方案。</w:t>
            </w:r>
          </w:p>
          <w:p w14:paraId="715C8CAF">
            <w:pPr>
              <w:widowControl/>
              <w:ind w:right="-154" w:rightChars="-55"/>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AI质检：面向能源、钢铁、机械、电子、化工等各类工业/制造业企业，提供对固体/液体/软体等物体的精度测量、缺陷检测，支持统计、预警、追溯等功能，可向客户提供数据标注、算法训练等工具，支持与客户已有系统对接（如MES/ERP等系统），大幅提高检测效率精度，降低对质检人员的依赖性。</w:t>
            </w:r>
          </w:p>
        </w:tc>
        <w:tc>
          <w:tcPr>
            <w:tcW w:w="3878" w:type="dxa"/>
            <w:tcBorders>
              <w:top w:val="single" w:color="auto" w:sz="4" w:space="0"/>
              <w:left w:val="nil"/>
              <w:bottom w:val="single" w:color="auto" w:sz="4" w:space="0"/>
              <w:right w:val="single" w:color="auto" w:sz="4" w:space="0"/>
            </w:tcBorders>
            <w:vAlign w:val="center"/>
          </w:tcPr>
          <w:p w14:paraId="1F756CBD">
            <w:pPr>
              <w:widowControl/>
              <w:jc w:val="left"/>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AI合规通用算法：工装穿戴防护、进出人数统计、人员越界侦测、在岗行为检测、在岗脱岗监测、操作工序合规、设备仪表监测、人机作业安全、工业计数统计</w:t>
            </w:r>
          </w:p>
          <w:p w14:paraId="1296F450">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AI质检模块：测量模块、定位模块、识别模块、检查模块</w:t>
            </w:r>
          </w:p>
        </w:tc>
        <w:tc>
          <w:tcPr>
            <w:tcW w:w="1538" w:type="dxa"/>
            <w:tcBorders>
              <w:top w:val="single" w:color="auto" w:sz="4" w:space="0"/>
              <w:left w:val="nil"/>
              <w:bottom w:val="single" w:color="auto" w:sz="4" w:space="0"/>
              <w:right w:val="single" w:color="auto" w:sz="4" w:space="0"/>
            </w:tcBorders>
            <w:vAlign w:val="center"/>
          </w:tcPr>
          <w:p w14:paraId="274461FE">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30万元-100万</w:t>
            </w:r>
            <w:r>
              <w:rPr>
                <w:rFonts w:hint="eastAsia" w:ascii="仿宋" w:hAnsi="仿宋" w:cs="仿宋"/>
                <w:color w:val="auto"/>
                <w:kern w:val="0"/>
                <w:sz w:val="24"/>
                <w:szCs w:val="24"/>
                <w:lang w:bidi="ar"/>
              </w:rPr>
              <w:t>元</w:t>
            </w:r>
          </w:p>
          <w:p w14:paraId="34EBA9D4">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AI合规：</w:t>
            </w:r>
          </w:p>
          <w:p w14:paraId="583DCA51">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1.基础软件平台20万</w:t>
            </w:r>
            <w:r>
              <w:rPr>
                <w:rFonts w:hint="eastAsia" w:ascii="仿宋" w:hAnsi="仿宋" w:cs="仿宋"/>
                <w:color w:val="auto"/>
                <w:kern w:val="0"/>
                <w:sz w:val="24"/>
                <w:szCs w:val="24"/>
                <w:lang w:bidi="ar"/>
              </w:rPr>
              <w:t>元</w:t>
            </w:r>
            <w:r>
              <w:rPr>
                <w:rFonts w:hint="eastAsia" w:ascii="仿宋" w:hAnsi="仿宋" w:cs="仿宋"/>
                <w:color w:val="auto"/>
                <w:kern w:val="0"/>
                <w:sz w:val="22"/>
                <w:szCs w:val="22"/>
                <w:lang w:bidi="ar"/>
              </w:rPr>
              <w:t>（视频解码/算法调度/告警通知/系统对接）</w:t>
            </w:r>
          </w:p>
          <w:p w14:paraId="46C225B9">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2.视频接入授权（9类标准化场景功能）500元-2000元/路/算法</w:t>
            </w:r>
          </w:p>
          <w:p w14:paraId="44B62A4A">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AI质检：</w:t>
            </w:r>
          </w:p>
          <w:p w14:paraId="1A92D241">
            <w:pPr>
              <w:widowControl/>
              <w:ind w:right="-171" w:rightChars="-61"/>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2"/>
                <w:szCs w:val="22"/>
                <w:lang w:bidi="ar"/>
              </w:rPr>
              <w:t>1、基础软件费用25万元-30万</w:t>
            </w:r>
            <w:r>
              <w:rPr>
                <w:rFonts w:hint="eastAsia" w:ascii="仿宋" w:hAnsi="仿宋" w:cs="仿宋"/>
                <w:color w:val="auto"/>
                <w:kern w:val="0"/>
                <w:sz w:val="24"/>
                <w:szCs w:val="24"/>
                <w:lang w:bidi="ar"/>
              </w:rPr>
              <w:t>元</w:t>
            </w:r>
            <w:r>
              <w:rPr>
                <w:rFonts w:hint="eastAsia" w:ascii="仿宋" w:hAnsi="仿宋" w:cs="仿宋"/>
                <w:color w:val="auto"/>
                <w:kern w:val="0"/>
                <w:sz w:val="22"/>
                <w:szCs w:val="22"/>
                <w:lang w:bidi="ar"/>
              </w:rPr>
              <w:t xml:space="preserve"> 根据现场替代人工数量与生产效率之间的正比关系，按替代人工数量核算成本</w:t>
            </w:r>
          </w:p>
        </w:tc>
        <w:tc>
          <w:tcPr>
            <w:tcW w:w="3051" w:type="dxa"/>
            <w:tcBorders>
              <w:top w:val="single" w:color="auto" w:sz="4" w:space="0"/>
              <w:left w:val="nil"/>
              <w:bottom w:val="single" w:color="auto" w:sz="4" w:space="0"/>
              <w:right w:val="single" w:color="auto" w:sz="4" w:space="0"/>
            </w:tcBorders>
            <w:vAlign w:val="center"/>
          </w:tcPr>
          <w:p w14:paraId="7FA72CD8">
            <w:pPr>
              <w:widowControl/>
              <w:jc w:val="left"/>
              <w:textAlignment w:val="center"/>
              <w:rPr>
                <w:rFonts w:hint="default" w:eastAsia="宋体"/>
                <w:color w:val="auto"/>
                <w:lang w:val="en-US" w:eastAsia="zh-CN"/>
              </w:rPr>
            </w:pPr>
            <w:r>
              <w:rPr>
                <w:rFonts w:hint="eastAsia" w:ascii="仿宋" w:hAnsi="仿宋" w:cs="仿宋"/>
                <w:color w:val="auto"/>
                <w:kern w:val="0"/>
                <w:sz w:val="22"/>
                <w:szCs w:val="22"/>
                <w:lang w:val="en-US" w:eastAsia="zh-CN" w:bidi="ar"/>
              </w:rPr>
              <w:t>修订</w:t>
            </w:r>
            <w:bookmarkStart w:id="0" w:name="_GoBack"/>
            <w:bookmarkEnd w:id="0"/>
          </w:p>
        </w:tc>
      </w:tr>
      <w:tr w14:paraId="7F5E2D72">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6C7D97EA">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6F6C248C">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lang w:bidi="ar"/>
              </w:rPr>
              <w:t>智慧监控平台</w:t>
            </w:r>
          </w:p>
        </w:tc>
        <w:tc>
          <w:tcPr>
            <w:tcW w:w="3456" w:type="dxa"/>
            <w:tcBorders>
              <w:top w:val="single" w:color="auto" w:sz="4" w:space="0"/>
              <w:left w:val="nil"/>
              <w:bottom w:val="single" w:color="auto" w:sz="4" w:space="0"/>
              <w:right w:val="single" w:color="auto" w:sz="4" w:space="0"/>
            </w:tcBorders>
            <w:vAlign w:val="center"/>
          </w:tcPr>
          <w:p w14:paraId="296307DD">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lang w:bidi="ar"/>
              </w:rPr>
              <w:t>基于5G云网能力打造视频智联平台，为工业行业客户、企业提供高效、可控、易用的一站式视频服务，打造全场景化的行业解决方案。</w:t>
            </w:r>
          </w:p>
        </w:tc>
        <w:tc>
          <w:tcPr>
            <w:tcW w:w="3878" w:type="dxa"/>
            <w:tcBorders>
              <w:top w:val="single" w:color="auto" w:sz="4" w:space="0"/>
              <w:left w:val="nil"/>
              <w:bottom w:val="single" w:color="auto" w:sz="4" w:space="0"/>
              <w:right w:val="single" w:color="auto" w:sz="4" w:space="0"/>
            </w:tcBorders>
            <w:vAlign w:val="center"/>
          </w:tcPr>
          <w:p w14:paraId="147A4F20">
            <w:pPr>
              <w:widowControl/>
              <w:jc w:val="left"/>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lang w:bidi="ar"/>
              </w:rPr>
              <w:t>视频监控：具备视频接入、视频编码、视频汇聚、视频存储、视频AI、视频安全态势感知、驾驶舱、手机客户端功能；</w:t>
            </w:r>
          </w:p>
        </w:tc>
        <w:tc>
          <w:tcPr>
            <w:tcW w:w="1538" w:type="dxa"/>
            <w:tcBorders>
              <w:top w:val="single" w:color="auto" w:sz="4" w:space="0"/>
              <w:left w:val="nil"/>
              <w:bottom w:val="single" w:color="auto" w:sz="4" w:space="0"/>
              <w:right w:val="single" w:color="auto" w:sz="4" w:space="0"/>
            </w:tcBorders>
            <w:vAlign w:val="center"/>
          </w:tcPr>
          <w:p w14:paraId="3DC8EC4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10万元-300万</w:t>
            </w:r>
            <w:r>
              <w:rPr>
                <w:rFonts w:hint="eastAsia" w:ascii="仿宋" w:hAnsi="仿宋" w:cs="仿宋"/>
                <w:color w:val="000000"/>
                <w:kern w:val="0"/>
                <w:sz w:val="24"/>
                <w:szCs w:val="24"/>
                <w:lang w:bidi="ar"/>
              </w:rPr>
              <w:t>元</w:t>
            </w:r>
          </w:p>
          <w:p w14:paraId="3793BEB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1、视频监控产品基础版：8000元/年/套</w:t>
            </w:r>
          </w:p>
          <w:p w14:paraId="707A789F">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2、视频会议产品基础版：6980元/年/套</w:t>
            </w:r>
          </w:p>
          <w:p w14:paraId="67B187A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3、视频直播产品基础版：3万元/年/套</w:t>
            </w:r>
          </w:p>
          <w:p w14:paraId="4BD7EDE2">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4、其他套餐、定制化需求、施工费用一事一议，2500元-3000元/人天。</w:t>
            </w:r>
          </w:p>
        </w:tc>
        <w:tc>
          <w:tcPr>
            <w:tcW w:w="3051" w:type="dxa"/>
            <w:tcBorders>
              <w:top w:val="single" w:color="auto" w:sz="4" w:space="0"/>
              <w:left w:val="nil"/>
              <w:bottom w:val="single" w:color="auto" w:sz="4" w:space="0"/>
              <w:right w:val="single" w:color="auto" w:sz="4" w:space="0"/>
            </w:tcBorders>
            <w:vAlign w:val="center"/>
          </w:tcPr>
          <w:p w14:paraId="14CA0825">
            <w:pPr>
              <w:widowControl/>
              <w:jc w:val="left"/>
              <w:textAlignment w:val="center"/>
              <w:rPr>
                <w:rFonts w:hint="eastAsia" w:ascii="仿宋_GB2312" w:hAnsi="仿宋_GB2312" w:eastAsia="仿宋_GB2312" w:cs="仿宋_GB2312"/>
                <w:kern w:val="0"/>
                <w:sz w:val="24"/>
                <w:szCs w:val="24"/>
              </w:rPr>
            </w:pPr>
          </w:p>
        </w:tc>
      </w:tr>
      <w:tr w14:paraId="0C9D7699">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36D9EE29">
            <w:pPr>
              <w:widowControl/>
              <w:numPr>
                <w:ilvl w:val="0"/>
                <w:numId w:val="3"/>
              </w:numPr>
              <w:jc w:val="center"/>
              <w:textAlignment w:val="center"/>
              <w:rPr>
                <w:rFonts w:hint="eastAsia" w:ascii="仿宋_GB2312" w:hAnsi="仿宋_GB2312" w:eastAsia="仿宋_GB2312" w:cs="仿宋_GB2312"/>
                <w:color w:val="auto"/>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38BFEB15">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DPAAS数据中台</w:t>
            </w:r>
          </w:p>
        </w:tc>
        <w:tc>
          <w:tcPr>
            <w:tcW w:w="3456" w:type="dxa"/>
            <w:tcBorders>
              <w:top w:val="single" w:color="auto" w:sz="4" w:space="0"/>
              <w:left w:val="nil"/>
              <w:bottom w:val="single" w:color="auto" w:sz="4" w:space="0"/>
              <w:right w:val="single" w:color="auto" w:sz="4" w:space="0"/>
            </w:tcBorders>
            <w:vAlign w:val="center"/>
          </w:tcPr>
          <w:p w14:paraId="391DAAEE">
            <w:pPr>
              <w:widowControl/>
              <w:ind w:right="-154" w:rightChars="-55"/>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面向工业企业客户，提供数据中台底座及可视化报表/BI、数据总线、数字孪生、数据仓库/数据湖/数据资产、产品全生命周期追溯等标准功能模块或定制化功能，帮助企业打通研发设计、生产制造、销售与服务等全价值链协同。</w:t>
            </w:r>
          </w:p>
        </w:tc>
        <w:tc>
          <w:tcPr>
            <w:tcW w:w="3878" w:type="dxa"/>
            <w:tcBorders>
              <w:top w:val="single" w:color="auto" w:sz="4" w:space="0"/>
              <w:left w:val="nil"/>
              <w:bottom w:val="single" w:color="auto" w:sz="4" w:space="0"/>
              <w:right w:val="single" w:color="auto" w:sz="4" w:space="0"/>
            </w:tcBorders>
            <w:vAlign w:val="center"/>
          </w:tcPr>
          <w:p w14:paraId="7346D21A">
            <w:pPr>
              <w:widowControl/>
              <w:jc w:val="left"/>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1.标准功能模块：大数据平台底座、后台管理、BI报表、数据服务、数据管理、元数据、主数据、工厂建模、外仓建模、生产日历、工艺路径、数据资产</w:t>
            </w:r>
          </w:p>
          <w:p w14:paraId="6B7A00BC">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2.项目服务：业务调研、系统设计、大数据平台架构设计、定制开发、实施、培训、运维、项目管理</w:t>
            </w:r>
          </w:p>
        </w:tc>
        <w:tc>
          <w:tcPr>
            <w:tcW w:w="1538" w:type="dxa"/>
            <w:tcBorders>
              <w:top w:val="single" w:color="auto" w:sz="4" w:space="0"/>
              <w:left w:val="nil"/>
              <w:bottom w:val="single" w:color="auto" w:sz="4" w:space="0"/>
              <w:right w:val="single" w:color="auto" w:sz="4" w:space="0"/>
            </w:tcBorders>
            <w:vAlign w:val="center"/>
          </w:tcPr>
          <w:p w14:paraId="1ECE37F4">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10万元-300万</w:t>
            </w:r>
            <w:r>
              <w:rPr>
                <w:rFonts w:hint="eastAsia" w:ascii="仿宋" w:hAnsi="仿宋" w:cs="仿宋"/>
                <w:color w:val="auto"/>
                <w:kern w:val="0"/>
                <w:sz w:val="24"/>
                <w:szCs w:val="24"/>
                <w:lang w:bidi="ar"/>
              </w:rPr>
              <w:t>元</w:t>
            </w:r>
          </w:p>
          <w:p w14:paraId="5A3CA5A6">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1.大数据平台底座：20万元/套</w:t>
            </w:r>
          </w:p>
          <w:p w14:paraId="2110D280">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2.后台管理：10万元/套</w:t>
            </w:r>
          </w:p>
          <w:p w14:paraId="531CFBE3">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3.BI报表平台：基本版10万元/套，标准版20万</w:t>
            </w:r>
            <w:r>
              <w:rPr>
                <w:rFonts w:hint="eastAsia" w:ascii="仿宋" w:hAnsi="仿宋" w:cs="仿宋"/>
                <w:color w:val="auto"/>
                <w:kern w:val="0"/>
                <w:sz w:val="24"/>
                <w:szCs w:val="24"/>
                <w:lang w:bidi="ar"/>
              </w:rPr>
              <w:t>元</w:t>
            </w:r>
            <w:r>
              <w:rPr>
                <w:rFonts w:hint="eastAsia" w:ascii="仿宋" w:hAnsi="仿宋" w:cs="仿宋"/>
                <w:color w:val="auto"/>
                <w:kern w:val="0"/>
                <w:sz w:val="22"/>
                <w:szCs w:val="22"/>
                <w:lang w:bidi="ar"/>
              </w:rPr>
              <w:t>/套，旗舰版54万</w:t>
            </w:r>
            <w:r>
              <w:rPr>
                <w:rFonts w:hint="eastAsia" w:ascii="仿宋" w:hAnsi="仿宋" w:cs="仿宋"/>
                <w:color w:val="auto"/>
                <w:kern w:val="0"/>
                <w:sz w:val="24"/>
                <w:szCs w:val="24"/>
                <w:lang w:bidi="ar"/>
              </w:rPr>
              <w:t>元</w:t>
            </w:r>
            <w:r>
              <w:rPr>
                <w:rFonts w:hint="eastAsia" w:ascii="仿宋" w:hAnsi="仿宋" w:cs="仿宋"/>
                <w:color w:val="auto"/>
                <w:kern w:val="0"/>
                <w:sz w:val="22"/>
                <w:szCs w:val="22"/>
                <w:lang w:bidi="ar"/>
              </w:rPr>
              <w:t>/套</w:t>
            </w:r>
          </w:p>
          <w:p w14:paraId="5E71B92E">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4.数据服务：基本版8万元/套，标准版16万</w:t>
            </w:r>
            <w:r>
              <w:rPr>
                <w:rFonts w:hint="eastAsia" w:ascii="仿宋" w:hAnsi="仿宋" w:cs="仿宋"/>
                <w:color w:val="auto"/>
                <w:kern w:val="0"/>
                <w:sz w:val="24"/>
                <w:szCs w:val="24"/>
                <w:lang w:bidi="ar"/>
              </w:rPr>
              <w:t>元</w:t>
            </w:r>
            <w:r>
              <w:rPr>
                <w:rFonts w:hint="eastAsia" w:ascii="仿宋" w:hAnsi="仿宋" w:cs="仿宋"/>
                <w:color w:val="auto"/>
                <w:kern w:val="0"/>
                <w:sz w:val="22"/>
                <w:szCs w:val="22"/>
                <w:lang w:bidi="ar"/>
              </w:rPr>
              <w:t>/套，旗舰版24万</w:t>
            </w:r>
            <w:r>
              <w:rPr>
                <w:rFonts w:hint="eastAsia" w:ascii="仿宋" w:hAnsi="仿宋" w:cs="仿宋"/>
                <w:color w:val="auto"/>
                <w:kern w:val="0"/>
                <w:sz w:val="24"/>
                <w:szCs w:val="24"/>
                <w:lang w:bidi="ar"/>
              </w:rPr>
              <w:t>元</w:t>
            </w:r>
            <w:r>
              <w:rPr>
                <w:rFonts w:hint="eastAsia" w:ascii="仿宋" w:hAnsi="仿宋" w:cs="仿宋"/>
                <w:color w:val="auto"/>
                <w:kern w:val="0"/>
                <w:sz w:val="22"/>
                <w:szCs w:val="22"/>
                <w:lang w:bidi="ar"/>
              </w:rPr>
              <w:t>/套</w:t>
            </w:r>
          </w:p>
          <w:p w14:paraId="17B06308">
            <w:pPr>
              <w:widowControl/>
              <w:ind w:right="-171" w:rightChars="-61"/>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2"/>
                <w:szCs w:val="22"/>
                <w:lang w:bidi="ar"/>
              </w:rPr>
              <w:t>5.其他功能、定制化需求、施工费用按需定制，3000元-4000元/人天。</w:t>
            </w:r>
          </w:p>
        </w:tc>
        <w:tc>
          <w:tcPr>
            <w:tcW w:w="3051" w:type="dxa"/>
            <w:tcBorders>
              <w:top w:val="single" w:color="auto" w:sz="4" w:space="0"/>
              <w:left w:val="nil"/>
              <w:bottom w:val="single" w:color="auto" w:sz="4" w:space="0"/>
              <w:right w:val="single" w:color="auto" w:sz="4" w:space="0"/>
            </w:tcBorders>
            <w:vAlign w:val="center"/>
          </w:tcPr>
          <w:p w14:paraId="4E8CE466">
            <w:pPr>
              <w:widowControl/>
              <w:jc w:val="left"/>
              <w:textAlignment w:val="center"/>
              <w:rPr>
                <w:rFonts w:hint="eastAsia" w:eastAsia="仿宋"/>
                <w:color w:val="auto"/>
                <w:lang w:val="en-US" w:eastAsia="zh-CN"/>
              </w:rPr>
            </w:pPr>
            <w:r>
              <w:rPr>
                <w:rFonts w:hint="eastAsia" w:ascii="仿宋" w:hAnsi="仿宋" w:cs="仿宋"/>
                <w:color w:val="auto"/>
                <w:kern w:val="0"/>
                <w:sz w:val="24"/>
                <w:szCs w:val="24"/>
                <w:lang w:val="en-US" w:eastAsia="zh-CN" w:bidi="ar"/>
              </w:rPr>
              <w:t>修订</w:t>
            </w:r>
          </w:p>
        </w:tc>
      </w:tr>
      <w:tr w14:paraId="37D02A9C">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154DDF4D">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4B36BAF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天玑安全平台</w:t>
            </w:r>
          </w:p>
        </w:tc>
        <w:tc>
          <w:tcPr>
            <w:tcW w:w="3456" w:type="dxa"/>
            <w:tcBorders>
              <w:top w:val="single" w:color="auto" w:sz="4" w:space="0"/>
              <w:left w:val="nil"/>
              <w:bottom w:val="single" w:color="auto" w:sz="4" w:space="0"/>
              <w:right w:val="single" w:color="auto" w:sz="4" w:space="0"/>
            </w:tcBorders>
            <w:vAlign w:val="center"/>
          </w:tcPr>
          <w:p w14:paraId="2CF4CA84">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面向有网站防护、移动应用加固的工业企业，为工业企业提供线上等保、密评、安全态势感知、安全产品纳管、安全运维等一站式服务</w:t>
            </w:r>
          </w:p>
        </w:tc>
        <w:tc>
          <w:tcPr>
            <w:tcW w:w="3878" w:type="dxa"/>
            <w:tcBorders>
              <w:top w:val="single" w:color="auto" w:sz="4" w:space="0"/>
              <w:left w:val="nil"/>
              <w:bottom w:val="single" w:color="auto" w:sz="4" w:space="0"/>
              <w:right w:val="single" w:color="auto" w:sz="4" w:space="0"/>
            </w:tcBorders>
            <w:vAlign w:val="center"/>
          </w:tcPr>
          <w:p w14:paraId="5F1EC05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1、安全合规服务：线上等保、密评运营管理一站式服务</w:t>
            </w:r>
          </w:p>
          <w:p w14:paraId="2ABCC0EC">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包括：等保自动差距分析、在线密评方案、等保密评整改加固、安全合规知识库</w:t>
            </w:r>
          </w:p>
          <w:p w14:paraId="7687E47D">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2、态势感知服务：安全态势直观展示、攻击源排名等</w:t>
            </w:r>
          </w:p>
          <w:p w14:paraId="7A6826E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包括：安全事件分析、权威安全信息通告、行业安全大屏定制开发</w:t>
            </w:r>
          </w:p>
          <w:p w14:paraId="2D480BF9">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3、产品纳管服务：所有安全组件在云上统一管理</w:t>
            </w:r>
          </w:p>
          <w:p w14:paraId="584792C8">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包括：云盾DDOS、慧御云防护、防火墙、云WAF、堡垒机</w:t>
            </w:r>
          </w:p>
          <w:p w14:paraId="4CE9823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4、安全运维服务：提供政策性和标准安全服务快速交付</w:t>
            </w:r>
          </w:p>
          <w:p w14:paraId="75F54265">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包括：国密加固、渗透测试、网站扫描、漏洞扫描、安全整改、应急演练、重保护网</w:t>
            </w:r>
          </w:p>
        </w:tc>
        <w:tc>
          <w:tcPr>
            <w:tcW w:w="1538" w:type="dxa"/>
            <w:tcBorders>
              <w:top w:val="single" w:color="auto" w:sz="4" w:space="0"/>
              <w:left w:val="nil"/>
              <w:bottom w:val="single" w:color="auto" w:sz="4" w:space="0"/>
              <w:right w:val="single" w:color="auto" w:sz="4" w:space="0"/>
            </w:tcBorders>
            <w:vAlign w:val="center"/>
          </w:tcPr>
          <w:p w14:paraId="73D574B8">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5万元-300万</w:t>
            </w:r>
            <w:r>
              <w:rPr>
                <w:rFonts w:hint="eastAsia" w:ascii="仿宋" w:hAnsi="仿宋" w:cs="仿宋"/>
                <w:color w:val="000000"/>
                <w:kern w:val="0"/>
                <w:sz w:val="24"/>
                <w:szCs w:val="24"/>
                <w:lang w:bidi="ar"/>
              </w:rPr>
              <w:t>元</w:t>
            </w:r>
          </w:p>
          <w:p w14:paraId="1BE36722">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按功能收费：基础版10万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，1.等保管理：5万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64CB0F8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2.密评管理：5万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352921A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3.产品纳管：5万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/套（含3款），纳管每增加1款，1.5万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/款；</w:t>
            </w:r>
          </w:p>
          <w:p w14:paraId="050EA08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4.专项检查：5万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46A6DBB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5.资产管理：5万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638A5A1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6.工业防火墙（标准版）：4万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/套；工业防火墙（增强版）：5万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7216C8A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7.工业主机安全加固系统：5万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2CE79E52">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8.工业终端安全卫士（软件版）：2,200元/套；</w:t>
            </w:r>
          </w:p>
          <w:p w14:paraId="73E0F77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9.工业入侵检测系统（标准版）：5万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/套；工业入侵检测系统（增强版）：6万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0A57721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10.工业日志审计分析系统：5万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6ECC90B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11.工业监测审计系统（标准版）：5万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/套；工业监测审计系统（增强版）：6万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2496BFD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12.运维审计与管理系统（标准版）：5万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/套；运维审计与管理系统（增强版）：6万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16901BC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13.USB安全管理系统（标准版）：5000元/套；USB安全管理系统（增强版）：1万元/套；</w:t>
            </w:r>
          </w:p>
          <w:p w14:paraId="759C422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14.工业隔离网闸（标准版）：5万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/套；工业隔离网闸（增强版）：6万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465FA45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15.数据库安全审计系统：5.5万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193440F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16.数据库防火墙系统：6.5万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1A5239F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17.工业安全管理与态势分析平台（标准版）：5万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/套；工业安全管理与态势分析平台（增强版）：7.5万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1FE0EB7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18.工业入侵诱捕系统：15万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25A71EF7">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如另有定制开发，则按2500元/人天计费</w:t>
            </w:r>
          </w:p>
        </w:tc>
        <w:tc>
          <w:tcPr>
            <w:tcW w:w="3051" w:type="dxa"/>
            <w:tcBorders>
              <w:top w:val="single" w:color="auto" w:sz="4" w:space="0"/>
              <w:left w:val="nil"/>
              <w:bottom w:val="single" w:color="auto" w:sz="4" w:space="0"/>
              <w:right w:val="single" w:color="auto" w:sz="4" w:space="0"/>
            </w:tcBorders>
            <w:vAlign w:val="center"/>
          </w:tcPr>
          <w:p w14:paraId="5CCCDD07">
            <w:pPr>
              <w:widowControl/>
              <w:jc w:val="left"/>
              <w:textAlignment w:val="center"/>
              <w:rPr>
                <w:rFonts w:hint="eastAsia" w:ascii="仿宋_GB2312" w:hAnsi="仿宋_GB2312" w:eastAsia="仿宋_GB2312" w:cs="仿宋_GB2312"/>
                <w:kern w:val="0"/>
                <w:sz w:val="24"/>
                <w:szCs w:val="24"/>
              </w:rPr>
            </w:pPr>
          </w:p>
        </w:tc>
      </w:tr>
      <w:tr w14:paraId="79CA0960">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69435635">
            <w:pPr>
              <w:widowControl/>
              <w:numPr>
                <w:ilvl w:val="0"/>
                <w:numId w:val="3"/>
              </w:numPr>
              <w:ind w:left="425" w:leftChars="0" w:hanging="425" w:firstLineChars="0"/>
              <w:jc w:val="center"/>
              <w:textAlignment w:val="center"/>
              <w:rPr>
                <w:rFonts w:hint="eastAsia" w:ascii="仿宋_GB2312" w:hAnsi="仿宋_GB2312" w:eastAsia="仿宋_GB2312" w:cs="仿宋_GB2312"/>
                <w:color w:val="auto"/>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58FAF433">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eastAsia="仿宋_GB2312" w:cs="仿宋"/>
                <w:color w:val="auto"/>
                <w:kern w:val="0"/>
                <w:sz w:val="24"/>
                <w:szCs w:val="24"/>
                <w:lang w:eastAsia="zh-CN" w:bidi="ar"/>
              </w:rPr>
              <w:t>数御安全管理平台</w:t>
            </w:r>
          </w:p>
        </w:tc>
        <w:tc>
          <w:tcPr>
            <w:tcW w:w="3456" w:type="dxa"/>
            <w:tcBorders>
              <w:top w:val="single" w:color="auto" w:sz="4" w:space="0"/>
              <w:left w:val="nil"/>
              <w:bottom w:val="single" w:color="auto" w:sz="4" w:space="0"/>
              <w:right w:val="single" w:color="auto" w:sz="4" w:space="0"/>
            </w:tcBorders>
            <w:vAlign w:val="center"/>
          </w:tcPr>
          <w:p w14:paraId="4B042385">
            <w:pPr>
              <w:widowControl/>
              <w:ind w:right="-154" w:rightChars="-55"/>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满足企业个人信息保护、满足企业敏感数据发现与管理、满足企业对运维人员安全管控需求、满足企业数据安全运营需求</w:t>
            </w:r>
          </w:p>
        </w:tc>
        <w:tc>
          <w:tcPr>
            <w:tcW w:w="3878" w:type="dxa"/>
            <w:tcBorders>
              <w:top w:val="single" w:color="auto" w:sz="4" w:space="0"/>
              <w:left w:val="nil"/>
              <w:bottom w:val="single" w:color="auto" w:sz="4" w:space="0"/>
              <w:right w:val="single" w:color="auto" w:sz="4" w:space="0"/>
            </w:tcBorders>
            <w:vAlign w:val="center"/>
          </w:tcPr>
          <w:p w14:paraId="32D41C1A">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主要功能包括数据分类分级管理、数据动态脱敏、数据加密、用户行为跟踪审计、数据访问权限控制、数据安全风险分析。</w:t>
            </w:r>
          </w:p>
        </w:tc>
        <w:tc>
          <w:tcPr>
            <w:tcW w:w="1538" w:type="dxa"/>
            <w:tcBorders>
              <w:top w:val="single" w:color="auto" w:sz="4" w:space="0"/>
              <w:left w:val="nil"/>
              <w:bottom w:val="single" w:color="auto" w:sz="4" w:space="0"/>
              <w:right w:val="single" w:color="auto" w:sz="4" w:space="0"/>
            </w:tcBorders>
            <w:vAlign w:val="center"/>
          </w:tcPr>
          <w:p w14:paraId="728164D9">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20万元-50万</w:t>
            </w:r>
            <w:r>
              <w:rPr>
                <w:rFonts w:hint="eastAsia" w:ascii="仿宋" w:hAnsi="仿宋" w:cs="仿宋"/>
                <w:color w:val="auto"/>
                <w:kern w:val="0"/>
                <w:sz w:val="24"/>
                <w:szCs w:val="24"/>
                <w:lang w:bidi="ar"/>
              </w:rPr>
              <w:t>元</w:t>
            </w:r>
          </w:p>
          <w:p w14:paraId="443EE548">
            <w:pPr>
              <w:widowControl/>
              <w:ind w:right="-171" w:rightChars="-61"/>
              <w:jc w:val="center"/>
              <w:textAlignment w:val="center"/>
              <w:rPr>
                <w:rFonts w:hint="eastAsia" w:ascii="仿宋" w:hAnsi="仿宋" w:cs="仿宋"/>
                <w:color w:val="auto"/>
                <w:kern w:val="0"/>
                <w:sz w:val="22"/>
                <w:szCs w:val="22"/>
                <w:lang w:bidi="ar"/>
              </w:rPr>
            </w:pPr>
            <w:r>
              <w:rPr>
                <w:rFonts w:hint="eastAsia" w:ascii="仿宋" w:hAnsi="仿宋" w:cs="仿宋"/>
                <w:color w:val="auto"/>
                <w:kern w:val="0"/>
                <w:sz w:val="22"/>
                <w:szCs w:val="22"/>
                <w:lang w:bidi="ar"/>
              </w:rPr>
              <w:t>数据安全一体化产品报价（含5个数据库实例授权）：20万元/套；</w:t>
            </w:r>
          </w:p>
          <w:p w14:paraId="155E3196">
            <w:pPr>
              <w:widowControl/>
              <w:ind w:right="-171" w:rightChars="-61"/>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2"/>
                <w:szCs w:val="22"/>
                <w:lang w:bidi="ar"/>
              </w:rPr>
              <w:t>数据安全运营服务报价：1500元/人天；</w:t>
            </w:r>
          </w:p>
        </w:tc>
        <w:tc>
          <w:tcPr>
            <w:tcW w:w="3051" w:type="dxa"/>
            <w:tcBorders>
              <w:top w:val="single" w:color="auto" w:sz="4" w:space="0"/>
              <w:left w:val="nil"/>
              <w:bottom w:val="single" w:color="auto" w:sz="4" w:space="0"/>
              <w:right w:val="single" w:color="auto" w:sz="4" w:space="0"/>
            </w:tcBorders>
            <w:vAlign w:val="center"/>
          </w:tcPr>
          <w:p w14:paraId="4EA28022">
            <w:pPr>
              <w:widowControl/>
              <w:jc w:val="left"/>
              <w:textAlignment w:val="center"/>
              <w:rPr>
                <w:rFonts w:hint="eastAsia" w:ascii="仿宋_GB2312" w:hAnsi="仿宋_GB2312" w:eastAsia="仿宋_GB2312" w:cs="仿宋_GB2312"/>
                <w:color w:val="auto"/>
                <w:kern w:val="0"/>
                <w:sz w:val="24"/>
                <w:szCs w:val="24"/>
                <w:lang w:eastAsia="zh-CN"/>
              </w:rPr>
            </w:pPr>
            <w:r>
              <w:rPr>
                <w:rFonts w:hint="eastAsia" w:ascii="仿宋" w:hAnsi="仿宋" w:eastAsia="仿宋_GB2312" w:cs="仿宋"/>
                <w:color w:val="auto"/>
                <w:kern w:val="0"/>
                <w:sz w:val="24"/>
                <w:szCs w:val="24"/>
                <w:lang w:val="en-US" w:eastAsia="zh-CN" w:bidi="ar"/>
              </w:rPr>
              <w:t>修订</w:t>
            </w:r>
          </w:p>
        </w:tc>
      </w:tr>
      <w:tr w14:paraId="24ADBBE4">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633F499A">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22DDEE0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联通专线无忧</w:t>
            </w:r>
          </w:p>
        </w:tc>
        <w:tc>
          <w:tcPr>
            <w:tcW w:w="3456" w:type="dxa"/>
            <w:tcBorders>
              <w:top w:val="single" w:color="auto" w:sz="4" w:space="0"/>
              <w:left w:val="nil"/>
              <w:bottom w:val="single" w:color="auto" w:sz="4" w:space="0"/>
              <w:right w:val="single" w:color="auto" w:sz="4" w:space="0"/>
            </w:tcBorders>
            <w:vAlign w:val="center"/>
          </w:tcPr>
          <w:p w14:paraId="02E87134">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边界安全防护</w:t>
            </w:r>
          </w:p>
        </w:tc>
        <w:tc>
          <w:tcPr>
            <w:tcW w:w="3878" w:type="dxa"/>
            <w:tcBorders>
              <w:top w:val="single" w:color="auto" w:sz="4" w:space="0"/>
              <w:left w:val="nil"/>
              <w:bottom w:val="single" w:color="auto" w:sz="4" w:space="0"/>
              <w:right w:val="single" w:color="auto" w:sz="4" w:space="0"/>
            </w:tcBorders>
            <w:vAlign w:val="center"/>
          </w:tcPr>
          <w:p w14:paraId="02153153">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专线无忧是为互联网专线客户提供的边界安全防护服务，主要包含符合等保二级、三级要求的防火墙、入侵防护、防病毒、WEB 应用防护、上网行为管理等能力，以及安全威胁AI智能分析、主机失陷应急通报、安全威胁预警通告、安全日志审计、安全事件管理、资产漏洞运营、安全运营报告、等保合规管理、云地联动处置、安全网关监控等云端安全服务。</w:t>
            </w:r>
          </w:p>
        </w:tc>
        <w:tc>
          <w:tcPr>
            <w:tcW w:w="1538" w:type="dxa"/>
            <w:tcBorders>
              <w:top w:val="single" w:color="auto" w:sz="4" w:space="0"/>
              <w:left w:val="nil"/>
              <w:bottom w:val="single" w:color="auto" w:sz="4" w:space="0"/>
              <w:right w:val="single" w:color="auto" w:sz="4" w:space="0"/>
            </w:tcBorders>
            <w:vAlign w:val="center"/>
          </w:tcPr>
          <w:p w14:paraId="0AA13C97">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1、二级等保标准版(3年)：</w:t>
            </w:r>
          </w:p>
          <w:p w14:paraId="344BC35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100M：11900元；300M：15900元；500M：30800元；1G：46040元；</w:t>
            </w:r>
          </w:p>
          <w:p w14:paraId="33D73DF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2、二级等保增强版(3年)：</w:t>
            </w:r>
          </w:p>
          <w:p w14:paraId="5384D30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100M：15900元；300M：30800元；500M：46040元；1G：61800元；</w:t>
            </w:r>
          </w:p>
          <w:p w14:paraId="298D489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3、三级等保版(3年)：</w:t>
            </w:r>
          </w:p>
          <w:p w14:paraId="6A8C2F7D">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300M：232000元；1G：380000元；</w:t>
            </w:r>
          </w:p>
        </w:tc>
        <w:tc>
          <w:tcPr>
            <w:tcW w:w="3051" w:type="dxa"/>
            <w:tcBorders>
              <w:top w:val="single" w:color="auto" w:sz="4" w:space="0"/>
              <w:left w:val="nil"/>
              <w:bottom w:val="single" w:color="auto" w:sz="4" w:space="0"/>
              <w:right w:val="single" w:color="auto" w:sz="4" w:space="0"/>
            </w:tcBorders>
            <w:vAlign w:val="center"/>
          </w:tcPr>
          <w:p w14:paraId="73EBF07E">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佛山市高明贝斯特陶瓷有限公司、广东天元汇邦新材料股份有限公司、佛山市清极能源科技有限公司</w:t>
            </w:r>
          </w:p>
        </w:tc>
      </w:tr>
      <w:tr w14:paraId="59053B94">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067BE074">
            <w:pPr>
              <w:widowControl/>
              <w:numPr>
                <w:ilvl w:val="0"/>
                <w:numId w:val="3"/>
              </w:numPr>
              <w:jc w:val="center"/>
              <w:textAlignment w:val="center"/>
              <w:rPr>
                <w:rFonts w:hint="eastAsia" w:ascii="仿宋_GB2312" w:hAnsi="仿宋_GB2312" w:eastAsia="仿宋_GB2312" w:cs="仿宋_GB2312"/>
                <w:color w:val="auto"/>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18C943A4">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联通工业PON</w:t>
            </w:r>
          </w:p>
        </w:tc>
        <w:tc>
          <w:tcPr>
            <w:tcW w:w="3456" w:type="dxa"/>
            <w:tcBorders>
              <w:top w:val="single" w:color="auto" w:sz="4" w:space="0"/>
              <w:left w:val="nil"/>
              <w:bottom w:val="single" w:color="auto" w:sz="4" w:space="0"/>
              <w:right w:val="single" w:color="auto" w:sz="4" w:space="0"/>
            </w:tcBorders>
            <w:vAlign w:val="center"/>
          </w:tcPr>
          <w:p w14:paraId="177F3742">
            <w:pPr>
              <w:widowControl/>
              <w:ind w:right="-154" w:rightChars="-55"/>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为企业提供全光组网解决生产、办公WIFI上网并提供生产网络智能维护的平台，提升网络质量</w:t>
            </w:r>
          </w:p>
        </w:tc>
        <w:tc>
          <w:tcPr>
            <w:tcW w:w="3878" w:type="dxa"/>
            <w:tcBorders>
              <w:top w:val="single" w:color="auto" w:sz="4" w:space="0"/>
              <w:left w:val="nil"/>
              <w:bottom w:val="single" w:color="auto" w:sz="4" w:space="0"/>
              <w:right w:val="single" w:color="auto" w:sz="4" w:space="0"/>
            </w:tcBorders>
            <w:vAlign w:val="center"/>
          </w:tcPr>
          <w:p w14:paraId="0E889544">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提供企业级主/从FTTO生产联网设备，通过光纤将超千兆的Wi-Fi网络覆盖到生产每个角落，满足企业低时延、多联接、无缝漫游，内外网隔离的安全上网需求，有效保障多用户并发的生产经营场景接入体验，并提供完善的网络管理平台，提升企业内部生产服务效率。</w:t>
            </w:r>
          </w:p>
        </w:tc>
        <w:tc>
          <w:tcPr>
            <w:tcW w:w="1538" w:type="dxa"/>
            <w:tcBorders>
              <w:top w:val="single" w:color="auto" w:sz="4" w:space="0"/>
              <w:left w:val="nil"/>
              <w:bottom w:val="single" w:color="auto" w:sz="4" w:space="0"/>
              <w:right w:val="single" w:color="auto" w:sz="4" w:space="0"/>
            </w:tcBorders>
            <w:vAlign w:val="center"/>
          </w:tcPr>
          <w:p w14:paraId="114EA529">
            <w:pPr>
              <w:widowControl/>
              <w:ind w:right="-171" w:rightChars="-61"/>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价格：2万元-50万元</w:t>
            </w:r>
          </w:p>
        </w:tc>
        <w:tc>
          <w:tcPr>
            <w:tcW w:w="3051" w:type="dxa"/>
            <w:tcBorders>
              <w:top w:val="single" w:color="auto" w:sz="4" w:space="0"/>
              <w:left w:val="nil"/>
              <w:bottom w:val="single" w:color="auto" w:sz="4" w:space="0"/>
              <w:right w:val="single" w:color="auto" w:sz="4" w:space="0"/>
            </w:tcBorders>
            <w:vAlign w:val="center"/>
          </w:tcPr>
          <w:p w14:paraId="7158BBE5">
            <w:pPr>
              <w:widowControl/>
              <w:jc w:val="left"/>
              <w:textAlignment w:val="center"/>
              <w:rPr>
                <w:rFonts w:hint="eastAsia" w:eastAsia="宋体"/>
                <w:color w:val="auto"/>
                <w:lang w:eastAsia="zh-CN"/>
              </w:rPr>
            </w:pPr>
            <w:r>
              <w:rPr>
                <w:rFonts w:hint="eastAsia" w:ascii="仿宋" w:hAnsi="仿宋" w:cs="仿宋"/>
                <w:color w:val="auto"/>
                <w:kern w:val="0"/>
                <w:sz w:val="24"/>
                <w:szCs w:val="24"/>
                <w:lang w:val="en-US" w:eastAsia="zh-CN" w:bidi="ar"/>
              </w:rPr>
              <w:t>修订</w:t>
            </w:r>
          </w:p>
        </w:tc>
      </w:tr>
      <w:tr w14:paraId="6326268C">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14BA3537">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25A6FA6D">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灵犀渡AI</w:t>
            </w:r>
          </w:p>
        </w:tc>
        <w:tc>
          <w:tcPr>
            <w:tcW w:w="3456" w:type="dxa"/>
            <w:tcBorders>
              <w:top w:val="single" w:color="auto" w:sz="4" w:space="0"/>
              <w:left w:val="nil"/>
              <w:bottom w:val="single" w:color="auto" w:sz="4" w:space="0"/>
              <w:right w:val="single" w:color="auto" w:sz="4" w:space="0"/>
            </w:tcBorders>
            <w:vAlign w:val="center"/>
          </w:tcPr>
          <w:p w14:paraId="3FD87A47">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通过AI技术，结合各行业大数据，提供一整套海外社媒智能营销解决方案</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实现一键多平台、多账号、多语言打造社媒矩阵，实现低成本高效率全网霸屏</w:t>
            </w:r>
          </w:p>
        </w:tc>
        <w:tc>
          <w:tcPr>
            <w:tcW w:w="3878" w:type="dxa"/>
            <w:tcBorders>
              <w:top w:val="single" w:color="auto" w:sz="4" w:space="0"/>
              <w:left w:val="nil"/>
              <w:bottom w:val="single" w:color="auto" w:sz="4" w:space="0"/>
              <w:right w:val="single" w:color="auto" w:sz="4" w:space="0"/>
            </w:tcBorders>
            <w:vAlign w:val="center"/>
          </w:tcPr>
          <w:p w14:paraId="11A9A6DC">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数据工具、内容AI、营销工具、图片AI、智能客服工具、视频AI、海外社交媒体自动接口、百万外贸从业者共享提词</w:t>
            </w:r>
          </w:p>
        </w:tc>
        <w:tc>
          <w:tcPr>
            <w:tcW w:w="1538" w:type="dxa"/>
            <w:tcBorders>
              <w:top w:val="single" w:color="auto" w:sz="4" w:space="0"/>
              <w:left w:val="nil"/>
              <w:bottom w:val="single" w:color="auto" w:sz="4" w:space="0"/>
              <w:right w:val="single" w:color="auto" w:sz="4" w:space="0"/>
            </w:tcBorders>
            <w:vAlign w:val="center"/>
          </w:tcPr>
          <w:p w14:paraId="423FF753">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3万元-10万元/套/年，按需收费</w:t>
            </w:r>
          </w:p>
        </w:tc>
        <w:tc>
          <w:tcPr>
            <w:tcW w:w="3051" w:type="dxa"/>
            <w:tcBorders>
              <w:top w:val="single" w:color="auto" w:sz="4" w:space="0"/>
              <w:left w:val="nil"/>
              <w:bottom w:val="single" w:color="auto" w:sz="4" w:space="0"/>
              <w:right w:val="single" w:color="auto" w:sz="4" w:space="0"/>
            </w:tcBorders>
            <w:vAlign w:val="center"/>
          </w:tcPr>
          <w:p w14:paraId="593118C8">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w:t>
            </w:r>
          </w:p>
        </w:tc>
      </w:tr>
      <w:tr w14:paraId="10C6CE95">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3125BEC8">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0D9A7B18">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云联至简</w:t>
            </w:r>
          </w:p>
        </w:tc>
        <w:tc>
          <w:tcPr>
            <w:tcW w:w="3456" w:type="dxa"/>
            <w:tcBorders>
              <w:top w:val="single" w:color="auto" w:sz="4" w:space="0"/>
              <w:left w:val="nil"/>
              <w:bottom w:val="single" w:color="auto" w:sz="4" w:space="0"/>
              <w:right w:val="single" w:color="auto" w:sz="4" w:space="0"/>
            </w:tcBorders>
            <w:vAlign w:val="center"/>
          </w:tcPr>
          <w:p w14:paraId="72616623">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云联至简是为中小企业和重点行业客户提供“协同办公底座+saas应用”一站式服务的产品，通过与通信基础业务结合可为客户提供基础通信和协同办公一体化数字化转型解决方案。</w:t>
            </w:r>
          </w:p>
        </w:tc>
        <w:tc>
          <w:tcPr>
            <w:tcW w:w="3878" w:type="dxa"/>
            <w:tcBorders>
              <w:top w:val="single" w:color="auto" w:sz="4" w:space="0"/>
              <w:left w:val="nil"/>
              <w:bottom w:val="single" w:color="auto" w:sz="4" w:space="0"/>
              <w:right w:val="single" w:color="auto" w:sz="4" w:space="0"/>
            </w:tcBorders>
            <w:vAlign w:val="center"/>
          </w:tcPr>
          <w:p w14:paraId="0DF69855">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全面覆盖制造业、零售业、工业、服务业等多个行业在内的实际业务，覆盖了企业日常所能用到的基础办公功能以外增加了企业业务支撑应用，对于日常办公功能来说不需要复杂的程序直接上手就能使用</w:t>
            </w:r>
          </w:p>
        </w:tc>
        <w:tc>
          <w:tcPr>
            <w:tcW w:w="1538" w:type="dxa"/>
            <w:tcBorders>
              <w:top w:val="single" w:color="auto" w:sz="4" w:space="0"/>
              <w:left w:val="nil"/>
              <w:bottom w:val="single" w:color="auto" w:sz="4" w:space="0"/>
              <w:right w:val="single" w:color="auto" w:sz="4" w:space="0"/>
            </w:tcBorders>
            <w:vAlign w:val="center"/>
          </w:tcPr>
          <w:p w14:paraId="111E5D91">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2万元-50万元，按需收费</w:t>
            </w:r>
          </w:p>
        </w:tc>
        <w:tc>
          <w:tcPr>
            <w:tcW w:w="3051" w:type="dxa"/>
            <w:tcBorders>
              <w:top w:val="single" w:color="auto" w:sz="4" w:space="0"/>
              <w:left w:val="nil"/>
              <w:bottom w:val="single" w:color="auto" w:sz="4" w:space="0"/>
              <w:right w:val="single" w:color="auto" w:sz="4" w:space="0"/>
            </w:tcBorders>
            <w:vAlign w:val="center"/>
          </w:tcPr>
          <w:p w14:paraId="4BEE8AF2">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w:t>
            </w:r>
          </w:p>
        </w:tc>
      </w:tr>
      <w:tr w14:paraId="41D4B320">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787FA683">
            <w:pPr>
              <w:widowControl/>
              <w:numPr>
                <w:ilvl w:val="0"/>
                <w:numId w:val="3"/>
              </w:numPr>
              <w:jc w:val="center"/>
              <w:textAlignment w:val="center"/>
              <w:rPr>
                <w:rFonts w:hint="eastAsia" w:ascii="仿宋_GB2312" w:hAnsi="仿宋_GB2312" w:eastAsia="仿宋_GB2312" w:cs="仿宋_GB2312"/>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1638A11A">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工业生产作业信息管理系统</w:t>
            </w:r>
          </w:p>
        </w:tc>
        <w:tc>
          <w:tcPr>
            <w:tcW w:w="3456" w:type="dxa"/>
            <w:tcBorders>
              <w:top w:val="single" w:color="auto" w:sz="4" w:space="0"/>
              <w:left w:val="nil"/>
              <w:bottom w:val="single" w:color="auto" w:sz="4" w:space="0"/>
              <w:right w:val="single" w:color="auto" w:sz="4" w:space="0"/>
            </w:tcBorders>
            <w:vAlign w:val="center"/>
          </w:tcPr>
          <w:p w14:paraId="570A8152">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工业生产作业信息管理系统[简称：生产作业管理]是为中小制造企业快速实现数字化量身打造的智能一体化方案</w:t>
            </w:r>
          </w:p>
        </w:tc>
        <w:tc>
          <w:tcPr>
            <w:tcW w:w="3878" w:type="dxa"/>
            <w:tcBorders>
              <w:top w:val="single" w:color="auto" w:sz="4" w:space="0"/>
              <w:left w:val="nil"/>
              <w:bottom w:val="single" w:color="auto" w:sz="4" w:space="0"/>
              <w:right w:val="single" w:color="auto" w:sz="4" w:space="0"/>
            </w:tcBorders>
            <w:vAlign w:val="center"/>
          </w:tcPr>
          <w:p w14:paraId="4BC3A1EB">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可作为工厂大脑，进行经营管理及生产制造过程的实时管控，包括了ERP、MES、WMS、QMIS等数字化应用，一站式帮助企业实现业务和生产数字化。</w:t>
            </w:r>
          </w:p>
        </w:tc>
        <w:tc>
          <w:tcPr>
            <w:tcW w:w="1538" w:type="dxa"/>
            <w:tcBorders>
              <w:top w:val="single" w:color="auto" w:sz="4" w:space="0"/>
              <w:left w:val="nil"/>
              <w:bottom w:val="single" w:color="auto" w:sz="4" w:space="0"/>
              <w:right w:val="single" w:color="auto" w:sz="4" w:space="0"/>
            </w:tcBorders>
            <w:vAlign w:val="center"/>
          </w:tcPr>
          <w:p w14:paraId="245C3459">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1万元-200万元，按需收费</w:t>
            </w:r>
          </w:p>
        </w:tc>
        <w:tc>
          <w:tcPr>
            <w:tcW w:w="3051" w:type="dxa"/>
            <w:tcBorders>
              <w:top w:val="single" w:color="auto" w:sz="4" w:space="0"/>
              <w:left w:val="nil"/>
              <w:bottom w:val="single" w:color="auto" w:sz="4" w:space="0"/>
              <w:right w:val="single" w:color="auto" w:sz="4" w:space="0"/>
            </w:tcBorders>
            <w:vAlign w:val="center"/>
          </w:tcPr>
          <w:p w14:paraId="5A7170EC">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w:t>
            </w:r>
          </w:p>
        </w:tc>
      </w:tr>
      <w:tr w14:paraId="1BFA6081">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20C47233">
            <w:pPr>
              <w:widowControl/>
              <w:numPr>
                <w:ilvl w:val="0"/>
                <w:numId w:val="3"/>
              </w:numPr>
              <w:jc w:val="center"/>
              <w:textAlignment w:val="center"/>
              <w:rPr>
                <w:rFonts w:hint="eastAsia" w:ascii="仿宋_GB2312" w:hAnsi="仿宋_GB2312" w:eastAsia="仿宋_GB2312" w:cs="仿宋_GB2312"/>
                <w:color w:val="auto"/>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4F5043CC">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智造云</w:t>
            </w:r>
          </w:p>
        </w:tc>
        <w:tc>
          <w:tcPr>
            <w:tcW w:w="3456" w:type="dxa"/>
            <w:tcBorders>
              <w:top w:val="single" w:color="auto" w:sz="4" w:space="0"/>
              <w:left w:val="nil"/>
              <w:bottom w:val="single" w:color="auto" w:sz="4" w:space="0"/>
              <w:right w:val="single" w:color="auto" w:sz="4" w:space="0"/>
            </w:tcBorders>
            <w:vAlign w:val="center"/>
          </w:tcPr>
          <w:p w14:paraId="50A92DEF">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为企业提供生产制造、供应链管理以及经营管理类等的MES/WMS/PLM/EAM/SRM/CRM/ERP等Saas应用场景</w:t>
            </w:r>
          </w:p>
        </w:tc>
        <w:tc>
          <w:tcPr>
            <w:tcW w:w="3878" w:type="dxa"/>
            <w:tcBorders>
              <w:top w:val="single" w:color="auto" w:sz="4" w:space="0"/>
              <w:left w:val="nil"/>
              <w:bottom w:val="single" w:color="auto" w:sz="4" w:space="0"/>
              <w:right w:val="single" w:color="auto" w:sz="4" w:space="0"/>
            </w:tcBorders>
            <w:vAlign w:val="center"/>
          </w:tcPr>
          <w:p w14:paraId="0FAF4736">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智造云平台，聚焦产业集群内工业制造中小企业数字化转型升级共性需求。以智造云平台为核心，构建联通工业互联网SaaS应用合作生态圈，为企业提供SaaS应用产品，将各系统生产数据数据和业务横向打通；以云+大连接为基础，赋能制造企业，实现客户生产流、数据流、业务流的汇聚价值，助力企业向智能化转型，为企业上云提供一体化解决方案。</w:t>
            </w:r>
          </w:p>
        </w:tc>
        <w:tc>
          <w:tcPr>
            <w:tcW w:w="1538" w:type="dxa"/>
            <w:tcBorders>
              <w:top w:val="single" w:color="auto" w:sz="4" w:space="0"/>
              <w:left w:val="nil"/>
              <w:bottom w:val="single" w:color="auto" w:sz="4" w:space="0"/>
              <w:right w:val="single" w:color="auto" w:sz="4" w:space="0"/>
            </w:tcBorders>
            <w:vAlign w:val="center"/>
          </w:tcPr>
          <w:p w14:paraId="43AD898A">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2万元-200万元，具体结合云化部署或私有化部署，同时核算实施人天进行计算，2000元/人天。公有按需收取年费</w:t>
            </w:r>
          </w:p>
        </w:tc>
        <w:tc>
          <w:tcPr>
            <w:tcW w:w="3051" w:type="dxa"/>
            <w:tcBorders>
              <w:top w:val="single" w:color="auto" w:sz="4" w:space="0"/>
              <w:left w:val="nil"/>
              <w:bottom w:val="single" w:color="auto" w:sz="4" w:space="0"/>
              <w:right w:val="single" w:color="auto" w:sz="4" w:space="0"/>
            </w:tcBorders>
            <w:vAlign w:val="center"/>
          </w:tcPr>
          <w:p w14:paraId="40F46AE6">
            <w:pPr>
              <w:widowControl/>
              <w:jc w:val="center"/>
              <w:textAlignment w:val="center"/>
              <w:rPr>
                <w:rFonts w:hint="eastAsia" w:ascii="仿宋" w:hAnsi="仿宋" w:cs="仿宋"/>
                <w:color w:val="auto"/>
                <w:kern w:val="0"/>
                <w:sz w:val="24"/>
                <w:szCs w:val="24"/>
                <w:lang w:val="en-US" w:eastAsia="zh-CN" w:bidi="ar"/>
              </w:rPr>
            </w:pPr>
          </w:p>
          <w:p w14:paraId="1DFE48EA">
            <w:pPr>
              <w:pStyle w:val="2"/>
              <w:jc w:val="center"/>
              <w:rPr>
                <w:rFonts w:hint="eastAsia"/>
                <w:color w:val="auto"/>
                <w:lang w:val="en-US" w:eastAsia="zh-CN"/>
              </w:rPr>
            </w:pPr>
            <w:r>
              <w:rPr>
                <w:rFonts w:hint="eastAsia" w:ascii="仿宋" w:hAnsi="仿宋" w:eastAsia="仿宋" w:cs="仿宋"/>
                <w:color w:val="auto"/>
                <w:kern w:val="0"/>
                <w:sz w:val="24"/>
                <w:szCs w:val="24"/>
                <w:lang w:val="en-US" w:eastAsia="zh-CN" w:bidi="ar"/>
              </w:rPr>
              <w:t>新增</w:t>
            </w:r>
          </w:p>
        </w:tc>
      </w:tr>
      <w:tr w14:paraId="32A56EA5">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76A39B02">
            <w:pPr>
              <w:widowControl/>
              <w:numPr>
                <w:ilvl w:val="0"/>
                <w:numId w:val="3"/>
              </w:numPr>
              <w:jc w:val="center"/>
              <w:textAlignment w:val="center"/>
              <w:rPr>
                <w:rFonts w:hint="eastAsia" w:ascii="仿宋_GB2312" w:hAnsi="仿宋_GB2312" w:eastAsia="仿宋_GB2312" w:cs="仿宋_GB2312"/>
                <w:color w:val="auto"/>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76C25006">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联通工业固移融合平台</w:t>
            </w:r>
          </w:p>
        </w:tc>
        <w:tc>
          <w:tcPr>
            <w:tcW w:w="3456" w:type="dxa"/>
            <w:tcBorders>
              <w:top w:val="single" w:color="auto" w:sz="4" w:space="0"/>
              <w:left w:val="nil"/>
              <w:bottom w:val="single" w:color="auto" w:sz="4" w:space="0"/>
              <w:right w:val="single" w:color="auto" w:sz="4" w:space="0"/>
            </w:tcBorders>
            <w:vAlign w:val="center"/>
          </w:tcPr>
          <w:p w14:paraId="47640B28">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对客户侧路由器、交换机、防火墙、服务器、工业终端（PON，FTTO）等ICT设备进行集中纳管、集中监控、集中告警，提供多种质量监控手段,支持客户专属全景视图、资源监控、网络拓扑、性能管理、告警全流程处理能力，全方位管控ICT基础设施运行质量。</w:t>
            </w:r>
          </w:p>
        </w:tc>
        <w:tc>
          <w:tcPr>
            <w:tcW w:w="3878" w:type="dxa"/>
            <w:tcBorders>
              <w:top w:val="single" w:color="auto" w:sz="4" w:space="0"/>
              <w:left w:val="nil"/>
              <w:bottom w:val="single" w:color="auto" w:sz="4" w:space="0"/>
              <w:right w:val="single" w:color="auto" w:sz="4" w:space="0"/>
            </w:tcBorders>
            <w:vAlign w:val="center"/>
          </w:tcPr>
          <w:p w14:paraId="1E06B1CA">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企业级ICT运维监控系统。通过内网管家实现客户侧IT、CT、终端设备和网络的集中纳管、集中监控、集中运维，提供园区级ICT综合信息管理能力、故障主动侦测预警能力、网络质量和业务质量端到端可视化呈现能力等</w:t>
            </w:r>
          </w:p>
        </w:tc>
        <w:tc>
          <w:tcPr>
            <w:tcW w:w="1538" w:type="dxa"/>
            <w:tcBorders>
              <w:top w:val="single" w:color="auto" w:sz="4" w:space="0"/>
              <w:left w:val="nil"/>
              <w:bottom w:val="single" w:color="auto" w:sz="4" w:space="0"/>
              <w:right w:val="single" w:color="auto" w:sz="4" w:space="0"/>
            </w:tcBorders>
            <w:vAlign w:val="center"/>
          </w:tcPr>
          <w:p w14:paraId="79657B25">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3万元-100万元，具体结合云化部署或私有化部署</w:t>
            </w:r>
          </w:p>
        </w:tc>
        <w:tc>
          <w:tcPr>
            <w:tcW w:w="3051" w:type="dxa"/>
            <w:tcBorders>
              <w:top w:val="single" w:color="auto" w:sz="4" w:space="0"/>
              <w:left w:val="nil"/>
              <w:bottom w:val="single" w:color="auto" w:sz="4" w:space="0"/>
              <w:right w:val="single" w:color="auto" w:sz="4" w:space="0"/>
            </w:tcBorders>
            <w:vAlign w:val="center"/>
          </w:tcPr>
          <w:p w14:paraId="54195E5F">
            <w:pPr>
              <w:pStyle w:val="2"/>
              <w:jc w:val="center"/>
              <w:rPr>
                <w:rFonts w:hint="eastAsia"/>
                <w:color w:val="auto"/>
              </w:rPr>
            </w:pPr>
            <w:r>
              <w:rPr>
                <w:rFonts w:hint="eastAsia" w:ascii="仿宋" w:hAnsi="仿宋" w:eastAsia="仿宋" w:cs="仿宋"/>
                <w:color w:val="auto"/>
                <w:kern w:val="0"/>
                <w:sz w:val="24"/>
                <w:szCs w:val="24"/>
                <w:lang w:val="en-US" w:eastAsia="zh-CN" w:bidi="ar"/>
              </w:rPr>
              <w:t>新增</w:t>
            </w:r>
          </w:p>
        </w:tc>
      </w:tr>
      <w:tr w14:paraId="667908D4">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6ABB8129">
            <w:pPr>
              <w:widowControl/>
              <w:numPr>
                <w:ilvl w:val="0"/>
                <w:numId w:val="3"/>
              </w:numPr>
              <w:jc w:val="center"/>
              <w:textAlignment w:val="center"/>
              <w:rPr>
                <w:rFonts w:hint="eastAsia" w:ascii="仿宋_GB2312" w:hAnsi="仿宋_GB2312" w:eastAsia="仿宋_GB2312" w:cs="仿宋_GB2312"/>
                <w:color w:val="auto"/>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4EB29A68">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老师傅工业大模型应用平台</w:t>
            </w:r>
          </w:p>
        </w:tc>
        <w:tc>
          <w:tcPr>
            <w:tcW w:w="3456" w:type="dxa"/>
            <w:tcBorders>
              <w:top w:val="single" w:color="auto" w:sz="4" w:space="0"/>
              <w:left w:val="nil"/>
              <w:bottom w:val="single" w:color="auto" w:sz="4" w:space="0"/>
              <w:right w:val="single" w:color="auto" w:sz="4" w:space="0"/>
            </w:tcBorders>
            <w:vAlign w:val="center"/>
          </w:tcPr>
          <w:p w14:paraId="7E753E6A">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聚焦智能产线、智能诊断、智能运营三大场景。</w:t>
            </w:r>
          </w:p>
        </w:tc>
        <w:tc>
          <w:tcPr>
            <w:tcW w:w="3878" w:type="dxa"/>
            <w:tcBorders>
              <w:top w:val="single" w:color="auto" w:sz="4" w:space="0"/>
              <w:left w:val="nil"/>
              <w:bottom w:val="single" w:color="auto" w:sz="4" w:space="0"/>
              <w:right w:val="single" w:color="auto" w:sz="4" w:space="0"/>
            </w:tcBorders>
            <w:vAlign w:val="center"/>
          </w:tcPr>
          <w:p w14:paraId="497FD67D">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1轻量化Maas平台</w:t>
            </w:r>
          </w:p>
          <w:p w14:paraId="26413795">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提供模型纳管、训练、微调、部署等服务，轻松打造专属模型。</w:t>
            </w:r>
          </w:p>
          <w:p w14:paraId="1F1806B8">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支持企业上传私有数据，搭建本地知识库建设</w:t>
            </w:r>
          </w:p>
          <w:p w14:paraId="2B94BFA2">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提供工作流编排工具，支持企业自由构建智能体应用</w:t>
            </w:r>
          </w:p>
          <w:p w14:paraId="653EFE38">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2智能诊断</w:t>
            </w:r>
          </w:p>
          <w:p w14:paraId="1FD3F2F8">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中小企数转智能诊断</w:t>
            </w:r>
          </w:p>
          <w:p w14:paraId="7E2A0F88">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报告自动生成</w:t>
            </w:r>
          </w:p>
          <w:p w14:paraId="3D787A1C">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3智能生产</w:t>
            </w:r>
          </w:p>
          <w:p w14:paraId="2CAD192A">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视觉质检:少样本学习、缺陷精准检测</w:t>
            </w:r>
          </w:p>
          <w:p w14:paraId="569105A3">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智能运维:预测性维护、设备健康管理</w:t>
            </w:r>
          </w:p>
          <w:p w14:paraId="2DA31D36">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4智能运维</w:t>
            </w:r>
          </w:p>
          <w:p w14:paraId="3425D1A4">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智能问答</w:t>
            </w:r>
          </w:p>
          <w:p w14:paraId="60D90FD9">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智能看板</w:t>
            </w:r>
          </w:p>
          <w:p w14:paraId="55F28A2A">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智能培训数字人</w:t>
            </w:r>
          </w:p>
        </w:tc>
        <w:tc>
          <w:tcPr>
            <w:tcW w:w="1538" w:type="dxa"/>
            <w:tcBorders>
              <w:top w:val="single" w:color="auto" w:sz="4" w:space="0"/>
              <w:left w:val="nil"/>
              <w:bottom w:val="single" w:color="auto" w:sz="4" w:space="0"/>
              <w:right w:val="single" w:color="auto" w:sz="4" w:space="0"/>
            </w:tcBorders>
            <w:vAlign w:val="center"/>
          </w:tcPr>
          <w:p w14:paraId="4BF67411">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按照场景定制化部署，5万元-50万元</w:t>
            </w:r>
          </w:p>
        </w:tc>
        <w:tc>
          <w:tcPr>
            <w:tcW w:w="3051" w:type="dxa"/>
            <w:tcBorders>
              <w:top w:val="single" w:color="auto" w:sz="4" w:space="0"/>
              <w:left w:val="nil"/>
              <w:bottom w:val="single" w:color="auto" w:sz="4" w:space="0"/>
              <w:right w:val="single" w:color="auto" w:sz="4" w:space="0"/>
            </w:tcBorders>
            <w:vAlign w:val="center"/>
          </w:tcPr>
          <w:p w14:paraId="030ACE93">
            <w:pPr>
              <w:pStyle w:val="2"/>
              <w:jc w:val="center"/>
              <w:rPr>
                <w:rFonts w:hint="eastAsia"/>
                <w:color w:val="auto"/>
              </w:rPr>
            </w:pPr>
            <w:r>
              <w:rPr>
                <w:rFonts w:hint="eastAsia" w:ascii="仿宋" w:hAnsi="仿宋" w:eastAsia="仿宋" w:cs="仿宋"/>
                <w:color w:val="auto"/>
                <w:kern w:val="0"/>
                <w:sz w:val="24"/>
                <w:szCs w:val="24"/>
                <w:lang w:val="en-US" w:eastAsia="zh-CN" w:bidi="ar"/>
              </w:rPr>
              <w:t>新增</w:t>
            </w:r>
          </w:p>
        </w:tc>
      </w:tr>
      <w:tr w14:paraId="5C13A6E0">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1D270166">
            <w:pPr>
              <w:widowControl/>
              <w:numPr>
                <w:ilvl w:val="0"/>
                <w:numId w:val="3"/>
              </w:numPr>
              <w:jc w:val="center"/>
              <w:textAlignment w:val="center"/>
              <w:rPr>
                <w:rFonts w:hint="eastAsia" w:ascii="仿宋_GB2312" w:hAnsi="仿宋_GB2312" w:eastAsia="仿宋_GB2312" w:cs="仿宋_GB2312"/>
                <w:color w:val="auto"/>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0AB01769">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AI数字员工平台</w:t>
            </w:r>
          </w:p>
        </w:tc>
        <w:tc>
          <w:tcPr>
            <w:tcW w:w="3456" w:type="dxa"/>
            <w:tcBorders>
              <w:top w:val="single" w:color="auto" w:sz="4" w:space="0"/>
              <w:left w:val="nil"/>
              <w:bottom w:val="single" w:color="auto" w:sz="4" w:space="0"/>
              <w:right w:val="single" w:color="auto" w:sz="4" w:space="0"/>
            </w:tcBorders>
            <w:vAlign w:val="center"/>
          </w:tcPr>
          <w:p w14:paraId="2549FD44">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企业培训场景</w:t>
            </w:r>
          </w:p>
          <w:p w14:paraId="45FCAB18">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新员工入职培训</w:t>
            </w:r>
          </w:p>
          <w:p w14:paraId="765C21C8">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产品知识培训</w:t>
            </w:r>
          </w:p>
          <w:p w14:paraId="789DFB44">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销售技能提升</w:t>
            </w:r>
          </w:p>
          <w:p w14:paraId="3FDBF556">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合规培训管理</w:t>
            </w:r>
          </w:p>
          <w:p w14:paraId="4496B5A6">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日常办公场景</w:t>
            </w:r>
          </w:p>
          <w:p w14:paraId="15C8E262">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快速制作演示文稿</w:t>
            </w:r>
          </w:p>
          <w:p w14:paraId="39725DE3">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企业知识查询</w:t>
            </w:r>
          </w:p>
          <w:p w14:paraId="158F54E2">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文档智能处理</w:t>
            </w:r>
          </w:p>
          <w:p w14:paraId="555142E2">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创意内容生成</w:t>
            </w:r>
          </w:p>
          <w:p w14:paraId="56F1FEBE">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销售管理场景</w:t>
            </w:r>
          </w:p>
          <w:p w14:paraId="53560536">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销售话术训练</w:t>
            </w:r>
          </w:p>
          <w:p w14:paraId="61520623">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客户沟通技巧</w:t>
            </w:r>
          </w:p>
          <w:p w14:paraId="5BD81473">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产品介绍优化</w:t>
            </w:r>
          </w:p>
          <w:p w14:paraId="352759B3">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销售数据分析</w:t>
            </w:r>
          </w:p>
          <w:p w14:paraId="61BB6353">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内容创作场景</w:t>
            </w:r>
          </w:p>
          <w:p w14:paraId="08F0BE69">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营销素材制作</w:t>
            </w:r>
          </w:p>
          <w:p w14:paraId="161FA16E">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培训资料开发</w:t>
            </w:r>
          </w:p>
          <w:p w14:paraId="0CFF627A">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宣传内容生成</w:t>
            </w:r>
          </w:p>
          <w:p w14:paraId="0BA05239">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品牌形象设计</w:t>
            </w:r>
          </w:p>
        </w:tc>
        <w:tc>
          <w:tcPr>
            <w:tcW w:w="3878" w:type="dxa"/>
            <w:tcBorders>
              <w:top w:val="single" w:color="auto" w:sz="4" w:space="0"/>
              <w:left w:val="nil"/>
              <w:bottom w:val="single" w:color="auto" w:sz="4" w:space="0"/>
              <w:right w:val="single" w:color="auto" w:sz="4" w:space="0"/>
            </w:tcBorders>
            <w:vAlign w:val="center"/>
          </w:tcPr>
          <w:p w14:paraId="68A9960E">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专为企业打造的全方位AI工作平台，旨在通过人工智能技术提升企业的工作效率、培训质量和业务水平。平台集成了对话问答、文档生成、培训管理、销售辅导等多项核心功能，为不同规模的企业提供定制化的AI解决方案。</w:t>
            </w:r>
          </w:p>
        </w:tc>
        <w:tc>
          <w:tcPr>
            <w:tcW w:w="1538" w:type="dxa"/>
            <w:tcBorders>
              <w:top w:val="single" w:color="auto" w:sz="4" w:space="0"/>
              <w:left w:val="nil"/>
              <w:bottom w:val="single" w:color="auto" w:sz="4" w:space="0"/>
              <w:right w:val="single" w:color="auto" w:sz="4" w:space="0"/>
            </w:tcBorders>
            <w:vAlign w:val="center"/>
          </w:tcPr>
          <w:p w14:paraId="30FFDEE9">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val="en-US" w:eastAsia="zh-CN" w:bidi="ar"/>
              </w:rPr>
              <w:t>6</w:t>
            </w:r>
            <w:r>
              <w:rPr>
                <w:rFonts w:hint="eastAsia" w:ascii="仿宋" w:hAnsi="仿宋" w:cs="仿宋"/>
                <w:color w:val="auto"/>
                <w:kern w:val="0"/>
                <w:sz w:val="24"/>
                <w:szCs w:val="24"/>
                <w:lang w:bidi="ar"/>
              </w:rPr>
              <w:t>万元-35万元，具体结合云化部署或私有化部署</w:t>
            </w:r>
          </w:p>
        </w:tc>
        <w:tc>
          <w:tcPr>
            <w:tcW w:w="3051" w:type="dxa"/>
            <w:tcBorders>
              <w:top w:val="single" w:color="auto" w:sz="4" w:space="0"/>
              <w:left w:val="nil"/>
              <w:bottom w:val="single" w:color="auto" w:sz="4" w:space="0"/>
              <w:right w:val="single" w:color="auto" w:sz="4" w:space="0"/>
            </w:tcBorders>
            <w:vAlign w:val="center"/>
          </w:tcPr>
          <w:p w14:paraId="4855AF33">
            <w:pPr>
              <w:widowControl/>
              <w:jc w:val="center"/>
              <w:textAlignment w:val="center"/>
              <w:rPr>
                <w:rFonts w:hint="eastAsia" w:ascii="仿宋" w:hAnsi="仿宋" w:cs="仿宋"/>
                <w:color w:val="auto"/>
                <w:kern w:val="0"/>
                <w:sz w:val="24"/>
                <w:szCs w:val="24"/>
                <w:lang w:bidi="ar"/>
              </w:rPr>
            </w:pPr>
            <w:r>
              <w:rPr>
                <w:rFonts w:hint="eastAsia" w:ascii="仿宋" w:hAnsi="仿宋" w:eastAsia="仿宋" w:cs="仿宋"/>
                <w:color w:val="auto"/>
                <w:kern w:val="0"/>
                <w:sz w:val="24"/>
                <w:szCs w:val="24"/>
                <w:lang w:val="en-US" w:eastAsia="zh-CN" w:bidi="ar"/>
              </w:rPr>
              <w:t>新增</w:t>
            </w:r>
          </w:p>
        </w:tc>
      </w:tr>
      <w:tr w14:paraId="369DC8AA">
        <w:tblPrEx>
          <w:tblCellMar>
            <w:top w:w="0" w:type="dxa"/>
            <w:left w:w="108" w:type="dxa"/>
            <w:bottom w:w="0" w:type="dxa"/>
            <w:right w:w="108" w:type="dxa"/>
          </w:tblCellMar>
        </w:tblPrEx>
        <w:trPr>
          <w:trHeight w:val="611" w:hRule="atLeast"/>
        </w:trPr>
        <w:tc>
          <w:tcPr>
            <w:tcW w:w="746" w:type="dxa"/>
            <w:tcBorders>
              <w:top w:val="single" w:color="auto" w:sz="4" w:space="0"/>
              <w:left w:val="single" w:color="auto" w:sz="4" w:space="0"/>
              <w:bottom w:val="single" w:color="auto" w:sz="4" w:space="0"/>
              <w:right w:val="single" w:color="auto" w:sz="4" w:space="0"/>
            </w:tcBorders>
            <w:vAlign w:val="center"/>
          </w:tcPr>
          <w:p w14:paraId="304DA14B">
            <w:pPr>
              <w:widowControl/>
              <w:numPr>
                <w:ilvl w:val="0"/>
                <w:numId w:val="3"/>
              </w:numPr>
              <w:jc w:val="center"/>
              <w:textAlignment w:val="center"/>
              <w:rPr>
                <w:rFonts w:hint="eastAsia" w:ascii="仿宋_GB2312" w:hAnsi="仿宋_GB2312" w:eastAsia="仿宋_GB2312" w:cs="仿宋_GB2312"/>
                <w:color w:val="auto"/>
                <w:kern w:val="0"/>
                <w:sz w:val="24"/>
                <w:szCs w:val="24"/>
              </w:rPr>
            </w:pPr>
          </w:p>
        </w:tc>
        <w:tc>
          <w:tcPr>
            <w:tcW w:w="1392" w:type="dxa"/>
            <w:tcBorders>
              <w:top w:val="single" w:color="auto" w:sz="4" w:space="0"/>
              <w:left w:val="nil"/>
              <w:bottom w:val="single" w:color="auto" w:sz="4" w:space="0"/>
              <w:right w:val="single" w:color="auto" w:sz="4" w:space="0"/>
            </w:tcBorders>
            <w:vAlign w:val="center"/>
          </w:tcPr>
          <w:p w14:paraId="0A05ECCB">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智慧仓储产品</w:t>
            </w:r>
          </w:p>
        </w:tc>
        <w:tc>
          <w:tcPr>
            <w:tcW w:w="3456" w:type="dxa"/>
            <w:tcBorders>
              <w:top w:val="single" w:color="auto" w:sz="4" w:space="0"/>
              <w:left w:val="nil"/>
              <w:bottom w:val="single" w:color="auto" w:sz="4" w:space="0"/>
              <w:right w:val="single" w:color="auto" w:sz="4" w:space="0"/>
            </w:tcBorders>
            <w:vAlign w:val="center"/>
          </w:tcPr>
          <w:p w14:paraId="305DE849">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面向拥有中大型仓库客户的智慧仓储物流管理系统</w:t>
            </w:r>
          </w:p>
        </w:tc>
        <w:tc>
          <w:tcPr>
            <w:tcW w:w="3878" w:type="dxa"/>
            <w:tcBorders>
              <w:top w:val="single" w:color="auto" w:sz="4" w:space="0"/>
              <w:left w:val="nil"/>
              <w:bottom w:val="single" w:color="auto" w:sz="4" w:space="0"/>
              <w:right w:val="single" w:color="auto" w:sz="4" w:space="0"/>
            </w:tcBorders>
            <w:vAlign w:val="center"/>
          </w:tcPr>
          <w:p w14:paraId="10A68F10">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5G+AGV搬运服务、WMS仓储管理服务、TMS物流运输服务、5G+融合定位服务</w:t>
            </w:r>
          </w:p>
        </w:tc>
        <w:tc>
          <w:tcPr>
            <w:tcW w:w="1538" w:type="dxa"/>
            <w:tcBorders>
              <w:top w:val="single" w:color="auto" w:sz="4" w:space="0"/>
              <w:left w:val="nil"/>
              <w:bottom w:val="single" w:color="auto" w:sz="4" w:space="0"/>
              <w:right w:val="single" w:color="auto" w:sz="4" w:space="0"/>
            </w:tcBorders>
            <w:vAlign w:val="center"/>
          </w:tcPr>
          <w:p w14:paraId="09392F86">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价格：私有10万元-100万元；公有按需收取年费</w:t>
            </w:r>
          </w:p>
        </w:tc>
        <w:tc>
          <w:tcPr>
            <w:tcW w:w="3051" w:type="dxa"/>
            <w:tcBorders>
              <w:top w:val="single" w:color="auto" w:sz="4" w:space="0"/>
              <w:left w:val="nil"/>
              <w:bottom w:val="single" w:color="auto" w:sz="4" w:space="0"/>
              <w:right w:val="single" w:color="auto" w:sz="4" w:space="0"/>
            </w:tcBorders>
            <w:vAlign w:val="center"/>
          </w:tcPr>
          <w:p w14:paraId="76C79F9E">
            <w:pPr>
              <w:pStyle w:val="2"/>
              <w:jc w:val="center"/>
              <w:rPr>
                <w:rFonts w:hint="eastAsia"/>
                <w:color w:val="auto"/>
              </w:rPr>
            </w:pPr>
            <w:r>
              <w:rPr>
                <w:rFonts w:hint="eastAsia" w:ascii="仿宋" w:hAnsi="仿宋" w:eastAsia="仿宋" w:cs="仿宋"/>
                <w:color w:val="auto"/>
                <w:kern w:val="0"/>
                <w:sz w:val="24"/>
                <w:szCs w:val="24"/>
                <w:lang w:val="en-US" w:eastAsia="zh-CN" w:bidi="ar"/>
              </w:rPr>
              <w:t>新增</w:t>
            </w:r>
          </w:p>
        </w:tc>
      </w:tr>
    </w:tbl>
    <w:p w14:paraId="0CEC8A13">
      <w:pPr>
        <w:rPr>
          <w:rFonts w:hint="eastAsia" w:ascii="仿宋_GB2312" w:hAnsi="仿宋_GB2312" w:eastAsia="仿宋_GB2312" w:cs="仿宋_GB2312"/>
          <w:bCs/>
          <w:sz w:val="32"/>
          <w:szCs w:val="32"/>
        </w:rPr>
      </w:pPr>
    </w:p>
    <w:p w14:paraId="52015137">
      <w:pPr>
        <w:rPr>
          <w:rFonts w:hint="eastAsia"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179582E0">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（三）联合体成员：</w:t>
      </w:r>
      <w:r>
        <w:rPr>
          <w:rFonts w:hint="eastAsia" w:ascii="仿宋_GB2312" w:hAnsi="仿宋_GB2312" w:eastAsia="仿宋_GB2312" w:cs="仿宋_GB2312"/>
          <w:bCs/>
          <w:szCs w:val="28"/>
        </w:rPr>
        <w:t>中国移动通信集团广东有限公司佛山分公司/广东腾一科技有限公司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677"/>
        <w:gridCol w:w="3745"/>
      </w:tblGrid>
      <w:tr w14:paraId="69301AD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DCA815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CD01E9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732BE6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0C05C8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677" w:type="dxa"/>
            <w:tcBorders>
              <w:top w:val="single" w:color="auto" w:sz="4" w:space="0"/>
              <w:left w:val="nil"/>
              <w:bottom w:val="single" w:color="auto" w:sz="4" w:space="0"/>
              <w:right w:val="single" w:color="auto" w:sz="4" w:space="0"/>
            </w:tcBorders>
            <w:shd w:val="clear" w:color="auto" w:fill="auto"/>
            <w:vAlign w:val="center"/>
          </w:tcPr>
          <w:p w14:paraId="3EAB57DA">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745" w:type="dxa"/>
            <w:tcBorders>
              <w:top w:val="single" w:color="auto" w:sz="4" w:space="0"/>
              <w:left w:val="nil"/>
              <w:bottom w:val="single" w:color="auto" w:sz="4" w:space="0"/>
              <w:right w:val="single" w:color="auto" w:sz="4" w:space="0"/>
            </w:tcBorders>
            <w:shd w:val="clear" w:color="auto" w:fill="auto"/>
            <w:vAlign w:val="center"/>
          </w:tcPr>
          <w:p w14:paraId="4E561CB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4C82CD0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BCBA281">
            <w:pPr>
              <w:widowControl/>
              <w:jc w:val="center"/>
              <w:textAlignment w:val="center"/>
              <w:rPr>
                <w:rFonts w:hint="eastAsia" w:ascii="仿宋_GB2312" w:hAnsi="仿宋_GB2312" w:eastAsia="仿宋_GB2312" w:cs="仿宋_GB2312"/>
                <w:kern w:val="0"/>
                <w:sz w:val="24"/>
                <w:szCs w:val="24"/>
                <w:highlight w:val="none"/>
                <w:lang w:eastAsia="zh-CN"/>
              </w:rPr>
            </w:pPr>
            <w:r>
              <w:rPr>
                <w:rFonts w:hint="eastAsia" w:ascii="仿宋_GB2312" w:hAnsi="仿宋_GB2312" w:eastAsia="仿宋_GB2312" w:cs="仿宋_GB2312"/>
                <w:kern w:val="0"/>
                <w:sz w:val="24"/>
                <w:szCs w:val="24"/>
                <w:highlight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E260BED">
            <w:pPr>
              <w:widowControl/>
              <w:jc w:val="center"/>
              <w:textAlignment w:val="center"/>
              <w:rPr>
                <w:rFonts w:hint="eastAsia" w:ascii="仿宋_GB2312" w:hAnsi="仿宋_GB2312" w:eastAsia="仿宋_GB2312" w:cs="仿宋_GB2312"/>
                <w:kern w:val="0"/>
                <w:sz w:val="24"/>
                <w:szCs w:val="24"/>
                <w:highlight w:val="none"/>
              </w:rPr>
            </w:pPr>
            <w:r>
              <w:rPr>
                <w:rFonts w:hint="eastAsia" w:ascii="仿宋" w:hAnsi="仿宋" w:cs="仿宋"/>
                <w:color w:val="000000"/>
                <w:kern w:val="0"/>
                <w:sz w:val="24"/>
                <w:szCs w:val="24"/>
                <w:highlight w:val="none"/>
                <w:lang w:bidi="ar"/>
              </w:rPr>
              <w:t>工业PON</w:t>
            </w:r>
          </w:p>
        </w:tc>
        <w:tc>
          <w:tcPr>
            <w:tcW w:w="2318" w:type="dxa"/>
            <w:tcBorders>
              <w:top w:val="single" w:color="auto" w:sz="4" w:space="0"/>
              <w:left w:val="nil"/>
              <w:bottom w:val="single" w:color="auto" w:sz="4" w:space="0"/>
              <w:right w:val="single" w:color="auto" w:sz="4" w:space="0"/>
            </w:tcBorders>
            <w:shd w:val="clear" w:color="auto" w:fill="auto"/>
            <w:vAlign w:val="center"/>
          </w:tcPr>
          <w:p w14:paraId="04A44D81">
            <w:pPr>
              <w:widowControl/>
              <w:ind w:right="-154" w:rightChars="-55"/>
              <w:jc w:val="center"/>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OT和ICT融合：融合实现工厂内网络实现IP化、扁平化、低时延。</w:t>
            </w:r>
          </w:p>
          <w:p w14:paraId="2E3E0F80">
            <w:pPr>
              <w:widowControl/>
              <w:ind w:right="-154" w:rightChars="-55"/>
              <w:jc w:val="center"/>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数据贯通：完成企业各类信息系统和生产系统贯通，基于大数据实现智能制造。</w:t>
            </w:r>
          </w:p>
          <w:p w14:paraId="1DE57FD6">
            <w:pPr>
              <w:widowControl/>
              <w:ind w:right="-154" w:rightChars="-55"/>
              <w:jc w:val="center"/>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智能运维：灵活接入各类工业设备、检测设备、传感设备.</w:t>
            </w:r>
          </w:p>
          <w:p w14:paraId="08660285">
            <w:pPr>
              <w:widowControl/>
              <w:ind w:right="-154" w:rightChars="-55"/>
              <w:jc w:val="center"/>
              <w:textAlignment w:val="center"/>
              <w:rPr>
                <w:rFonts w:hint="eastAsia" w:ascii="仿宋_GB2312" w:hAnsi="仿宋_GB2312" w:eastAsia="仿宋_GB2312" w:cs="仿宋_GB2312"/>
                <w:kern w:val="0"/>
                <w:sz w:val="24"/>
                <w:szCs w:val="24"/>
                <w:highlight w:val="none"/>
              </w:rPr>
            </w:pPr>
            <w:r>
              <w:rPr>
                <w:rFonts w:hint="eastAsia" w:ascii="仿宋" w:hAnsi="仿宋" w:cs="仿宋"/>
                <w:color w:val="000000"/>
                <w:kern w:val="0"/>
                <w:sz w:val="24"/>
                <w:szCs w:val="24"/>
                <w:highlight w:val="none"/>
                <w:lang w:bidi="ar"/>
              </w:rPr>
              <w:t>降本增效：建网成本下降，维护成本下降，网络性能提升。</w:t>
            </w:r>
          </w:p>
        </w:tc>
        <w:tc>
          <w:tcPr>
            <w:tcW w:w="4387" w:type="dxa"/>
            <w:tcBorders>
              <w:top w:val="single" w:color="auto" w:sz="4" w:space="0"/>
              <w:left w:val="nil"/>
              <w:bottom w:val="single" w:color="auto" w:sz="4" w:space="0"/>
              <w:right w:val="single" w:color="auto" w:sz="4" w:space="0"/>
            </w:tcBorders>
            <w:shd w:val="clear" w:color="auto" w:fill="auto"/>
            <w:vAlign w:val="center"/>
          </w:tcPr>
          <w:p w14:paraId="4C7B709F">
            <w:pPr>
              <w:widowControl/>
              <w:jc w:val="left"/>
              <w:textAlignment w:val="center"/>
              <w:rPr>
                <w:rFonts w:hint="eastAsia" w:ascii="仿宋_GB2312" w:hAnsi="仿宋_GB2312" w:eastAsia="仿宋_GB2312" w:cs="仿宋_GB2312"/>
                <w:color w:val="auto"/>
                <w:kern w:val="0"/>
                <w:sz w:val="24"/>
                <w:szCs w:val="24"/>
                <w:highlight w:val="none"/>
              </w:rPr>
            </w:pPr>
            <w:r>
              <w:rPr>
                <w:rFonts w:hint="eastAsia" w:ascii="仿宋" w:hAnsi="仿宋" w:cs="仿宋"/>
                <w:color w:val="auto"/>
                <w:kern w:val="0"/>
                <w:sz w:val="24"/>
                <w:szCs w:val="24"/>
                <w:highlight w:val="none"/>
                <w:lang w:bidi="ar"/>
              </w:rPr>
              <w:t>打造全光网络：在客户侧下沉OLT、接入设备采用工业级ONU，实现工厂/园区全光组网，由我司提供工业PON专网运维服务。</w:t>
            </w:r>
          </w:p>
        </w:tc>
        <w:tc>
          <w:tcPr>
            <w:tcW w:w="1677" w:type="dxa"/>
            <w:tcBorders>
              <w:top w:val="single" w:color="auto" w:sz="4" w:space="0"/>
              <w:left w:val="nil"/>
              <w:bottom w:val="single" w:color="auto" w:sz="4" w:space="0"/>
              <w:right w:val="single" w:color="auto" w:sz="4" w:space="0"/>
            </w:tcBorders>
            <w:shd w:val="clear" w:color="auto" w:fill="auto"/>
            <w:vAlign w:val="center"/>
          </w:tcPr>
          <w:p w14:paraId="369C6877">
            <w:pPr>
              <w:widowControl/>
              <w:ind w:right="-171" w:rightChars="-61"/>
              <w:jc w:val="center"/>
              <w:textAlignment w:val="center"/>
              <w:rPr>
                <w:rFonts w:hint="default" w:ascii="仿宋_GB2312" w:hAnsi="仿宋_GB2312" w:eastAsia="仿宋" w:cs="仿宋_GB2312"/>
                <w:color w:val="auto"/>
                <w:kern w:val="0"/>
                <w:sz w:val="24"/>
                <w:szCs w:val="24"/>
                <w:highlight w:val="none"/>
                <w:lang w:val="en-US" w:eastAsia="zh-CN"/>
              </w:rPr>
            </w:pPr>
            <w:r>
              <w:rPr>
                <w:rFonts w:hint="eastAsia" w:ascii="仿宋" w:hAnsi="仿宋" w:cs="仿宋"/>
                <w:color w:val="auto"/>
                <w:kern w:val="0"/>
                <w:sz w:val="24"/>
                <w:szCs w:val="24"/>
                <w:highlight w:val="none"/>
                <w:lang w:bidi="ar"/>
              </w:rPr>
              <w:t>500接入点/35</w:t>
            </w:r>
            <w:r>
              <w:rPr>
                <w:rFonts w:hint="eastAsia" w:ascii="仿宋" w:hAnsi="仿宋" w:cs="仿宋"/>
                <w:color w:val="auto"/>
                <w:kern w:val="0"/>
                <w:sz w:val="24"/>
                <w:szCs w:val="24"/>
                <w:highlight w:val="none"/>
                <w:lang w:val="en-US" w:eastAsia="zh-CN" w:bidi="ar"/>
              </w:rPr>
              <w:t xml:space="preserve">万元 </w:t>
            </w:r>
          </w:p>
        </w:tc>
        <w:tc>
          <w:tcPr>
            <w:tcW w:w="3745" w:type="dxa"/>
            <w:tcBorders>
              <w:top w:val="single" w:color="auto" w:sz="4" w:space="0"/>
              <w:left w:val="nil"/>
              <w:bottom w:val="single" w:color="auto" w:sz="4" w:space="0"/>
              <w:right w:val="single" w:color="auto" w:sz="4" w:space="0"/>
            </w:tcBorders>
            <w:shd w:val="clear" w:color="auto" w:fill="auto"/>
            <w:vAlign w:val="center"/>
          </w:tcPr>
          <w:p w14:paraId="29607BDE">
            <w:pPr>
              <w:widowControl/>
              <w:jc w:val="center"/>
              <w:textAlignment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修订</w:t>
            </w:r>
          </w:p>
        </w:tc>
      </w:tr>
      <w:tr w14:paraId="1570FBE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0FFAC01">
            <w:pPr>
              <w:widowControl/>
              <w:jc w:val="center"/>
              <w:textAlignment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B7679E0">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工业质检</w:t>
            </w:r>
          </w:p>
        </w:tc>
        <w:tc>
          <w:tcPr>
            <w:tcW w:w="2318" w:type="dxa"/>
            <w:tcBorders>
              <w:top w:val="single" w:color="auto" w:sz="4" w:space="0"/>
              <w:left w:val="nil"/>
              <w:bottom w:val="single" w:color="auto" w:sz="4" w:space="0"/>
              <w:right w:val="single" w:color="auto" w:sz="4" w:space="0"/>
            </w:tcBorders>
            <w:shd w:val="clear" w:color="auto" w:fill="auto"/>
            <w:vAlign w:val="center"/>
          </w:tcPr>
          <w:p w14:paraId="0B2E8C9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利用AI深度学习算法，根据客户需求定制化开发识别算法，使检测过程更加自动化、智能化</w:t>
            </w:r>
          </w:p>
        </w:tc>
        <w:tc>
          <w:tcPr>
            <w:tcW w:w="4387" w:type="dxa"/>
            <w:tcBorders>
              <w:top w:val="single" w:color="auto" w:sz="4" w:space="0"/>
              <w:left w:val="nil"/>
              <w:bottom w:val="single" w:color="auto" w:sz="4" w:space="0"/>
              <w:right w:val="single" w:color="auto" w:sz="4" w:space="0"/>
            </w:tcBorders>
            <w:shd w:val="clear" w:color="auto" w:fill="auto"/>
            <w:vAlign w:val="center"/>
          </w:tcPr>
          <w:p w14:paraId="13D3A32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算法模型可靠性强，低误检，零漏检。打通MES、产线plc等系统接口。检测信息同步MES，实现质检结果可视化。</w:t>
            </w:r>
          </w:p>
        </w:tc>
        <w:tc>
          <w:tcPr>
            <w:tcW w:w="1677" w:type="dxa"/>
            <w:tcBorders>
              <w:top w:val="single" w:color="auto" w:sz="4" w:space="0"/>
              <w:left w:val="nil"/>
              <w:bottom w:val="single" w:color="auto" w:sz="4" w:space="0"/>
              <w:right w:val="single" w:color="auto" w:sz="4" w:space="0"/>
            </w:tcBorders>
            <w:shd w:val="clear" w:color="auto" w:fill="auto"/>
            <w:vAlign w:val="center"/>
          </w:tcPr>
          <w:p w14:paraId="39277234">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50万元-100万元/套</w:t>
            </w:r>
          </w:p>
        </w:tc>
        <w:tc>
          <w:tcPr>
            <w:tcW w:w="3745" w:type="dxa"/>
            <w:tcBorders>
              <w:top w:val="single" w:color="auto" w:sz="4" w:space="0"/>
              <w:left w:val="nil"/>
              <w:bottom w:val="single" w:color="auto" w:sz="4" w:space="0"/>
              <w:right w:val="single" w:color="auto" w:sz="4" w:space="0"/>
            </w:tcBorders>
            <w:shd w:val="clear" w:color="auto" w:fill="auto"/>
            <w:vAlign w:val="center"/>
          </w:tcPr>
          <w:p w14:paraId="3954F69A">
            <w:pPr>
              <w:widowControl/>
              <w:jc w:val="center"/>
              <w:textAlignment w:val="center"/>
              <w:rPr>
                <w:rFonts w:hint="eastAsia" w:ascii="仿宋_GB2312" w:hAnsi="仿宋_GB2312" w:eastAsia="仿宋_GB2312" w:cs="仿宋_GB2312"/>
                <w:kern w:val="0"/>
                <w:sz w:val="24"/>
                <w:szCs w:val="24"/>
              </w:rPr>
            </w:pPr>
          </w:p>
        </w:tc>
      </w:tr>
      <w:tr w14:paraId="01CFFBF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A7CBBF7">
            <w:pPr>
              <w:widowControl/>
              <w:jc w:val="center"/>
              <w:textAlignment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0E43AD8D">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工业能耗管理</w:t>
            </w:r>
          </w:p>
        </w:tc>
        <w:tc>
          <w:tcPr>
            <w:tcW w:w="2318" w:type="dxa"/>
            <w:tcBorders>
              <w:top w:val="single" w:color="auto" w:sz="4" w:space="0"/>
              <w:left w:val="nil"/>
              <w:bottom w:val="single" w:color="auto" w:sz="4" w:space="0"/>
              <w:right w:val="single" w:color="auto" w:sz="4" w:space="0"/>
            </w:tcBorders>
            <w:shd w:val="clear" w:color="auto" w:fill="auto"/>
            <w:vAlign w:val="center"/>
          </w:tcPr>
          <w:p w14:paraId="5565C44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针对企业能耗管理、能耗管理、能耗分析等需求，为整体的进行水、电、气等实时监测，提供安全告警功能</w:t>
            </w:r>
          </w:p>
        </w:tc>
        <w:tc>
          <w:tcPr>
            <w:tcW w:w="4387" w:type="dxa"/>
            <w:tcBorders>
              <w:top w:val="single" w:color="auto" w:sz="4" w:space="0"/>
              <w:left w:val="nil"/>
              <w:bottom w:val="single" w:color="auto" w:sz="4" w:space="0"/>
              <w:right w:val="single" w:color="auto" w:sz="4" w:space="0"/>
            </w:tcBorders>
            <w:shd w:val="clear" w:color="auto" w:fill="auto"/>
            <w:vAlign w:val="center"/>
          </w:tcPr>
          <w:p w14:paraId="3C26B6C6">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降低企业用能成本；提高用能安全水平；提高智能运维水平；全面提高节能降碳能力。</w:t>
            </w:r>
          </w:p>
        </w:tc>
        <w:tc>
          <w:tcPr>
            <w:tcW w:w="1677" w:type="dxa"/>
            <w:tcBorders>
              <w:top w:val="single" w:color="auto" w:sz="4" w:space="0"/>
              <w:left w:val="nil"/>
              <w:bottom w:val="single" w:color="auto" w:sz="4" w:space="0"/>
              <w:right w:val="single" w:color="auto" w:sz="4" w:space="0"/>
            </w:tcBorders>
            <w:shd w:val="clear" w:color="auto" w:fill="auto"/>
            <w:vAlign w:val="center"/>
          </w:tcPr>
          <w:p w14:paraId="343E9682">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云化部署：15万元/年</w:t>
            </w:r>
          </w:p>
          <w:p w14:paraId="6020C521">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私有化部署：75万元</w:t>
            </w:r>
          </w:p>
          <w:p w14:paraId="64375CE6">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实施部署及硬件费用按照实际情况评估</w:t>
            </w:r>
          </w:p>
        </w:tc>
        <w:tc>
          <w:tcPr>
            <w:tcW w:w="3745" w:type="dxa"/>
            <w:tcBorders>
              <w:top w:val="single" w:color="auto" w:sz="4" w:space="0"/>
              <w:left w:val="nil"/>
              <w:bottom w:val="single" w:color="auto" w:sz="4" w:space="0"/>
              <w:right w:val="single" w:color="auto" w:sz="4" w:space="0"/>
            </w:tcBorders>
            <w:shd w:val="clear" w:color="auto" w:fill="auto"/>
            <w:vAlign w:val="center"/>
          </w:tcPr>
          <w:p w14:paraId="3AF3E28F">
            <w:pPr>
              <w:widowControl/>
              <w:jc w:val="center"/>
              <w:textAlignment w:val="center"/>
              <w:rPr>
                <w:rFonts w:hint="eastAsia" w:ascii="仿宋_GB2312" w:hAnsi="仿宋_GB2312" w:eastAsia="仿宋_GB2312" w:cs="仿宋_GB2312"/>
                <w:kern w:val="0"/>
                <w:sz w:val="24"/>
                <w:szCs w:val="24"/>
              </w:rPr>
            </w:pPr>
          </w:p>
        </w:tc>
      </w:tr>
    </w:tbl>
    <w:p w14:paraId="23013B26">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0146D82F">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（四）联合体成员：中国电信股份有限公司佛山分公司/广东腾一科技有限公司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35"/>
      </w:tblGrid>
      <w:tr w14:paraId="3749E06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E0301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4A25C0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3B0F37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679BF1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67A52761">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35" w:type="dxa"/>
            <w:tcBorders>
              <w:top w:val="single" w:color="auto" w:sz="4" w:space="0"/>
              <w:left w:val="nil"/>
              <w:bottom w:val="single" w:color="auto" w:sz="4" w:space="0"/>
              <w:right w:val="single" w:color="auto" w:sz="4" w:space="0"/>
            </w:tcBorders>
            <w:shd w:val="clear" w:color="auto" w:fill="auto"/>
            <w:vAlign w:val="center"/>
          </w:tcPr>
          <w:p w14:paraId="45E4936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47623BE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94060DA">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55D048C9">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工业PON</w:t>
            </w:r>
          </w:p>
        </w:tc>
        <w:tc>
          <w:tcPr>
            <w:tcW w:w="2318" w:type="dxa"/>
            <w:tcBorders>
              <w:top w:val="single" w:color="auto" w:sz="4" w:space="0"/>
              <w:left w:val="nil"/>
              <w:bottom w:val="single" w:color="auto" w:sz="4" w:space="0"/>
              <w:right w:val="single" w:color="auto" w:sz="4" w:space="0"/>
            </w:tcBorders>
            <w:shd w:val="clear" w:color="auto" w:fill="auto"/>
            <w:vAlign w:val="center"/>
          </w:tcPr>
          <w:p w14:paraId="32852CB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工厂内各种设备运行数据、生产数据的采集与传输</w:t>
            </w:r>
          </w:p>
        </w:tc>
        <w:tc>
          <w:tcPr>
            <w:tcW w:w="4387" w:type="dxa"/>
            <w:tcBorders>
              <w:top w:val="single" w:color="auto" w:sz="4" w:space="0"/>
              <w:left w:val="nil"/>
              <w:bottom w:val="single" w:color="auto" w:sz="4" w:space="0"/>
              <w:right w:val="single" w:color="auto" w:sz="4" w:space="0"/>
            </w:tcBorders>
            <w:shd w:val="clear" w:color="auto" w:fill="auto"/>
            <w:vAlign w:val="center"/>
          </w:tcPr>
          <w:p w14:paraId="3A109529">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用于工业企业内网建设和改造，采用无源光网络（PON）技术为园区、企业独立组网，可承载企业生产、办公、安防等业务的数据传输， 满足企业新建网络和改造网络的需求。</w:t>
            </w:r>
          </w:p>
        </w:tc>
        <w:tc>
          <w:tcPr>
            <w:tcW w:w="1551" w:type="dxa"/>
            <w:tcBorders>
              <w:top w:val="single" w:color="auto" w:sz="4" w:space="0"/>
              <w:left w:val="nil"/>
              <w:bottom w:val="single" w:color="auto" w:sz="4" w:space="0"/>
              <w:right w:val="single" w:color="auto" w:sz="4" w:space="0"/>
            </w:tcBorders>
            <w:shd w:val="clear" w:color="auto" w:fill="auto"/>
            <w:vAlign w:val="center"/>
          </w:tcPr>
          <w:p w14:paraId="29372056">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0.3万元-20万元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42E03FEF">
            <w:pPr>
              <w:widowControl/>
              <w:jc w:val="center"/>
              <w:textAlignment w:val="center"/>
              <w:rPr>
                <w:rFonts w:hint="eastAsia" w:ascii="仿宋_GB2312" w:hAnsi="仿宋_GB2312" w:eastAsia="仿宋_GB2312" w:cs="仿宋_GB2312"/>
                <w:kern w:val="0"/>
                <w:sz w:val="24"/>
                <w:szCs w:val="24"/>
              </w:rPr>
            </w:pPr>
          </w:p>
        </w:tc>
      </w:tr>
      <w:tr w14:paraId="797BE7C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EA09623">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11AC7D4E">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工业防火墙</w:t>
            </w:r>
          </w:p>
        </w:tc>
        <w:tc>
          <w:tcPr>
            <w:tcW w:w="2318" w:type="dxa"/>
            <w:tcBorders>
              <w:top w:val="single" w:color="auto" w:sz="4" w:space="0"/>
              <w:left w:val="nil"/>
              <w:bottom w:val="single" w:color="auto" w:sz="4" w:space="0"/>
              <w:right w:val="single" w:color="auto" w:sz="4" w:space="0"/>
            </w:tcBorders>
            <w:shd w:val="clear" w:color="auto" w:fill="auto"/>
            <w:vAlign w:val="center"/>
          </w:tcPr>
          <w:p w14:paraId="214FE2D8">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一款针对互联网协议及工业协议的防火墙产品，满足特殊工业控制系统安全防护要求，实现生产网与互联网、办公网的逻辑隔离</w:t>
            </w:r>
          </w:p>
        </w:tc>
        <w:tc>
          <w:tcPr>
            <w:tcW w:w="4387" w:type="dxa"/>
            <w:tcBorders>
              <w:top w:val="single" w:color="auto" w:sz="4" w:space="0"/>
              <w:left w:val="nil"/>
              <w:bottom w:val="single" w:color="auto" w:sz="4" w:space="0"/>
              <w:right w:val="single" w:color="auto" w:sz="4" w:space="0"/>
            </w:tcBorders>
            <w:shd w:val="clear" w:color="auto" w:fill="auto"/>
            <w:vAlign w:val="center"/>
          </w:tcPr>
          <w:p w14:paraId="10BE333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专用于工控场景进行边界安全逻辑隔离。采用四重白名单的深度防御和一体化引擎机制，既实现了工业安全的深度安全要求，又满足工业安全的低时延要求。满足IP40、全封闭、无风扇、宽温、防潮防腐蚀、抗震、冗余电源等工业级可靠性和稳定性要求，有效确保了工业网络内外部的边界安全。</w:t>
            </w:r>
          </w:p>
        </w:tc>
        <w:tc>
          <w:tcPr>
            <w:tcW w:w="1551" w:type="dxa"/>
            <w:tcBorders>
              <w:top w:val="single" w:color="auto" w:sz="4" w:space="0"/>
              <w:left w:val="nil"/>
              <w:bottom w:val="single" w:color="auto" w:sz="4" w:space="0"/>
              <w:right w:val="single" w:color="auto" w:sz="4" w:space="0"/>
            </w:tcBorders>
            <w:shd w:val="clear" w:color="auto" w:fill="auto"/>
            <w:vAlign w:val="center"/>
          </w:tcPr>
          <w:p w14:paraId="6BBF880A">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3万元-20万元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2DD2D747">
            <w:pPr>
              <w:widowControl/>
              <w:jc w:val="center"/>
              <w:textAlignment w:val="center"/>
              <w:rPr>
                <w:rFonts w:hint="eastAsia" w:ascii="仿宋_GB2312" w:hAnsi="仿宋_GB2312" w:eastAsia="仿宋_GB2312" w:cs="仿宋_GB2312"/>
                <w:kern w:val="0"/>
                <w:sz w:val="24"/>
                <w:szCs w:val="24"/>
              </w:rPr>
            </w:pPr>
          </w:p>
        </w:tc>
      </w:tr>
      <w:tr w14:paraId="66BD065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17889C1">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28496258">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工控主机卫士</w:t>
            </w:r>
          </w:p>
        </w:tc>
        <w:tc>
          <w:tcPr>
            <w:tcW w:w="2318" w:type="dxa"/>
            <w:tcBorders>
              <w:top w:val="single" w:color="auto" w:sz="4" w:space="0"/>
              <w:left w:val="nil"/>
              <w:bottom w:val="single" w:color="auto" w:sz="4" w:space="0"/>
              <w:right w:val="single" w:color="auto" w:sz="4" w:space="0"/>
            </w:tcBorders>
            <w:shd w:val="clear" w:color="auto" w:fill="auto"/>
            <w:vAlign w:val="center"/>
          </w:tcPr>
          <w:p w14:paraId="224E8A69">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生产工控主机防护软件</w:t>
            </w:r>
          </w:p>
        </w:tc>
        <w:tc>
          <w:tcPr>
            <w:tcW w:w="4387" w:type="dxa"/>
            <w:tcBorders>
              <w:top w:val="single" w:color="auto" w:sz="4" w:space="0"/>
              <w:left w:val="nil"/>
              <w:bottom w:val="single" w:color="auto" w:sz="4" w:space="0"/>
              <w:right w:val="single" w:color="auto" w:sz="4" w:space="0"/>
            </w:tcBorders>
            <w:shd w:val="clear" w:color="auto" w:fill="auto"/>
            <w:vAlign w:val="center"/>
          </w:tcPr>
          <w:p w14:paraId="3A2099B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设置工业主机的网络连接规则列表，禁止非授权的网络连接确保终端的网络连接安全可信、阻断病毒木马的扩散路径支持自动枚举操作系统出站及入站网络端口、协议、IP地址等连接状态支持手动添加出站及入站规则，支持定义规则名称、程序路径。协议类型、本地端口、远端端口、本地IP、远端IP以及允许或阻止策略。</w:t>
            </w:r>
          </w:p>
        </w:tc>
        <w:tc>
          <w:tcPr>
            <w:tcW w:w="1551" w:type="dxa"/>
            <w:tcBorders>
              <w:top w:val="single" w:color="auto" w:sz="4" w:space="0"/>
              <w:left w:val="nil"/>
              <w:bottom w:val="single" w:color="auto" w:sz="4" w:space="0"/>
              <w:right w:val="single" w:color="auto" w:sz="4" w:space="0"/>
            </w:tcBorders>
            <w:shd w:val="clear" w:color="auto" w:fill="auto"/>
            <w:vAlign w:val="center"/>
          </w:tcPr>
          <w:p w14:paraId="0FB5C47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0.35万元-2万元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4B3EF1E8">
            <w:pPr>
              <w:widowControl/>
              <w:jc w:val="center"/>
              <w:textAlignment w:val="center"/>
              <w:rPr>
                <w:rFonts w:hint="eastAsia" w:ascii="仿宋_GB2312" w:hAnsi="仿宋_GB2312" w:eastAsia="仿宋_GB2312" w:cs="仿宋_GB2312"/>
                <w:kern w:val="0"/>
                <w:sz w:val="24"/>
                <w:szCs w:val="24"/>
              </w:rPr>
            </w:pPr>
          </w:p>
        </w:tc>
      </w:tr>
      <w:tr w14:paraId="7C28E81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CA9C319">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17AE8175">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翼备份</w:t>
            </w:r>
          </w:p>
        </w:tc>
        <w:tc>
          <w:tcPr>
            <w:tcW w:w="2318" w:type="dxa"/>
            <w:tcBorders>
              <w:top w:val="single" w:color="auto" w:sz="4" w:space="0"/>
              <w:left w:val="nil"/>
              <w:bottom w:val="single" w:color="auto" w:sz="4" w:space="0"/>
              <w:right w:val="single" w:color="auto" w:sz="4" w:space="0"/>
            </w:tcBorders>
            <w:shd w:val="clear" w:color="auto" w:fill="auto"/>
            <w:vAlign w:val="center"/>
          </w:tcPr>
          <w:p w14:paraId="1CA92439">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为广大政企用户提供按需购买、即买即用、安全可靠、弹性可扩展的云灾备服务，满足客户多层次的业务数据保障需求及监控合规需求</w:t>
            </w:r>
          </w:p>
        </w:tc>
        <w:tc>
          <w:tcPr>
            <w:tcW w:w="4387" w:type="dxa"/>
            <w:tcBorders>
              <w:top w:val="single" w:color="auto" w:sz="4" w:space="0"/>
              <w:left w:val="nil"/>
              <w:bottom w:val="single" w:color="auto" w:sz="4" w:space="0"/>
              <w:right w:val="single" w:color="auto" w:sz="4" w:space="0"/>
            </w:tcBorders>
            <w:shd w:val="clear" w:color="auto" w:fill="auto"/>
            <w:vAlign w:val="center"/>
          </w:tcPr>
          <w:p w14:paraId="1FDF537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在天翼云各节点资源池云主机上构建云灾备服务。</w:t>
            </w:r>
          </w:p>
          <w:p w14:paraId="5591848C">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所有备份数据存储到天翼云块存储等资源池。</w:t>
            </w:r>
          </w:p>
          <w:p w14:paraId="4A96CEEB">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组建专线、VPN、互联网带宽等多种形式存储通道。</w:t>
            </w:r>
          </w:p>
          <w:p w14:paraId="168CE1F8">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实现异地备份。一旦用户本地数据丢失，可从云端快速恢复数据。</w:t>
            </w:r>
          </w:p>
        </w:tc>
        <w:tc>
          <w:tcPr>
            <w:tcW w:w="1551" w:type="dxa"/>
            <w:tcBorders>
              <w:top w:val="single" w:color="auto" w:sz="4" w:space="0"/>
              <w:left w:val="nil"/>
              <w:bottom w:val="single" w:color="auto" w:sz="4" w:space="0"/>
              <w:right w:val="single" w:color="auto" w:sz="4" w:space="0"/>
            </w:tcBorders>
            <w:shd w:val="clear" w:color="auto" w:fill="auto"/>
            <w:vAlign w:val="center"/>
          </w:tcPr>
          <w:p w14:paraId="35C59D5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0.06万元-2万元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7931FFEC">
            <w:pPr>
              <w:widowControl/>
              <w:jc w:val="center"/>
              <w:textAlignment w:val="center"/>
              <w:rPr>
                <w:rFonts w:hint="eastAsia" w:ascii="仿宋_GB2312" w:hAnsi="仿宋_GB2312" w:eastAsia="仿宋_GB2312" w:cs="仿宋_GB2312"/>
                <w:kern w:val="0"/>
                <w:sz w:val="24"/>
                <w:szCs w:val="24"/>
              </w:rPr>
            </w:pPr>
          </w:p>
        </w:tc>
      </w:tr>
      <w:tr w14:paraId="519388C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85D1E4A">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375FC5A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数盾（数据防泄漏）</w:t>
            </w:r>
          </w:p>
        </w:tc>
        <w:tc>
          <w:tcPr>
            <w:tcW w:w="2318" w:type="dxa"/>
            <w:tcBorders>
              <w:top w:val="single" w:color="auto" w:sz="4" w:space="0"/>
              <w:left w:val="nil"/>
              <w:bottom w:val="single" w:color="auto" w:sz="4" w:space="0"/>
              <w:right w:val="single" w:color="auto" w:sz="4" w:space="0"/>
            </w:tcBorders>
            <w:shd w:val="clear" w:color="auto" w:fill="auto"/>
            <w:vAlign w:val="center"/>
          </w:tcPr>
          <w:p w14:paraId="702DE65D">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对内部文件进行加密，对外发的文件进行审计或拦截</w:t>
            </w:r>
          </w:p>
        </w:tc>
        <w:tc>
          <w:tcPr>
            <w:tcW w:w="4387" w:type="dxa"/>
            <w:tcBorders>
              <w:top w:val="single" w:color="auto" w:sz="4" w:space="0"/>
              <w:left w:val="nil"/>
              <w:bottom w:val="single" w:color="auto" w:sz="4" w:space="0"/>
              <w:right w:val="single" w:color="auto" w:sz="4" w:space="0"/>
            </w:tcBorders>
            <w:shd w:val="clear" w:color="auto" w:fill="auto"/>
            <w:vAlign w:val="center"/>
          </w:tcPr>
          <w:p w14:paraId="2BEB6A0F">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融合机器学习、关联分析、文件加密技术、访问控制、数据标识等多种技术的综合性数据安全防护产品，该产品以数据为中心，为用户数据资产提供事前主动防御、事中实时监测、事后追踪溯源、全程态势感知，基于数据的全生命周期提供全方位、立体化防护。</w:t>
            </w:r>
          </w:p>
        </w:tc>
        <w:tc>
          <w:tcPr>
            <w:tcW w:w="1551" w:type="dxa"/>
            <w:tcBorders>
              <w:top w:val="single" w:color="auto" w:sz="4" w:space="0"/>
              <w:left w:val="nil"/>
              <w:bottom w:val="single" w:color="auto" w:sz="4" w:space="0"/>
              <w:right w:val="single" w:color="auto" w:sz="4" w:space="0"/>
            </w:tcBorders>
            <w:shd w:val="clear" w:color="auto" w:fill="auto"/>
            <w:vAlign w:val="center"/>
          </w:tcPr>
          <w:p w14:paraId="01508710">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0.3万元-10万元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095A1A7A">
            <w:pPr>
              <w:widowControl/>
              <w:jc w:val="center"/>
              <w:textAlignment w:val="center"/>
              <w:rPr>
                <w:rFonts w:hint="eastAsia" w:ascii="仿宋_GB2312" w:hAnsi="仿宋_GB2312" w:eastAsia="仿宋_GB2312" w:cs="仿宋_GB2312"/>
                <w:kern w:val="0"/>
                <w:sz w:val="24"/>
                <w:szCs w:val="24"/>
              </w:rPr>
            </w:pPr>
          </w:p>
        </w:tc>
      </w:tr>
      <w:tr w14:paraId="7C2C18F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3F3F299">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60AE8E0E">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安全大脑</w:t>
            </w:r>
          </w:p>
        </w:tc>
        <w:tc>
          <w:tcPr>
            <w:tcW w:w="2318" w:type="dxa"/>
            <w:tcBorders>
              <w:top w:val="single" w:color="auto" w:sz="4" w:space="0"/>
              <w:left w:val="nil"/>
              <w:bottom w:val="single" w:color="auto" w:sz="4" w:space="0"/>
              <w:right w:val="single" w:color="auto" w:sz="4" w:space="0"/>
            </w:tcBorders>
            <w:shd w:val="clear" w:color="auto" w:fill="auto"/>
            <w:vAlign w:val="center"/>
          </w:tcPr>
          <w:p w14:paraId="238C8AF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提供云端的数据存储及安全事件分析，联动天翼安全网关进行必要时的策略阻断</w:t>
            </w:r>
          </w:p>
        </w:tc>
        <w:tc>
          <w:tcPr>
            <w:tcW w:w="4387" w:type="dxa"/>
            <w:tcBorders>
              <w:top w:val="single" w:color="auto" w:sz="4" w:space="0"/>
              <w:left w:val="nil"/>
              <w:bottom w:val="single" w:color="auto" w:sz="4" w:space="0"/>
              <w:right w:val="single" w:color="auto" w:sz="4" w:space="0"/>
            </w:tcBorders>
            <w:shd w:val="clear" w:color="auto" w:fill="auto"/>
            <w:vAlign w:val="center"/>
          </w:tcPr>
          <w:p w14:paraId="61BB5A4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安全大脑按照“一个中心三重防护”的标准要求，并将安全服务化，打造安全基础设施平台，提供云化安全监测和服务能力。对比市面上同类型产品，在成本、License更新、可视化威胁感知、安全月报、电信服务方面更有优势，可提供24小时无间断安全防护服务，为企业降本增效。</w:t>
            </w:r>
          </w:p>
        </w:tc>
        <w:tc>
          <w:tcPr>
            <w:tcW w:w="1551" w:type="dxa"/>
            <w:tcBorders>
              <w:top w:val="single" w:color="auto" w:sz="4" w:space="0"/>
              <w:left w:val="nil"/>
              <w:bottom w:val="single" w:color="auto" w:sz="4" w:space="0"/>
              <w:right w:val="single" w:color="auto" w:sz="4" w:space="0"/>
            </w:tcBorders>
            <w:shd w:val="clear" w:color="auto" w:fill="auto"/>
            <w:vAlign w:val="center"/>
          </w:tcPr>
          <w:p w14:paraId="6B833300">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120/200/260元/月；</w:t>
            </w:r>
          </w:p>
          <w:p w14:paraId="234885B5">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专线版：399/699/899元/月；</w:t>
            </w:r>
          </w:p>
          <w:p w14:paraId="303E2A3A">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按实际使用档次收费</w:t>
            </w:r>
          </w:p>
        </w:tc>
        <w:tc>
          <w:tcPr>
            <w:tcW w:w="3835" w:type="dxa"/>
            <w:tcBorders>
              <w:top w:val="single" w:color="auto" w:sz="4" w:space="0"/>
              <w:left w:val="nil"/>
              <w:bottom w:val="single" w:color="auto" w:sz="4" w:space="0"/>
              <w:right w:val="single" w:color="auto" w:sz="4" w:space="0"/>
            </w:tcBorders>
            <w:shd w:val="clear" w:color="auto" w:fill="auto"/>
            <w:vAlign w:val="center"/>
          </w:tcPr>
          <w:p w14:paraId="5BE6B2C2">
            <w:pPr>
              <w:widowControl/>
              <w:jc w:val="center"/>
              <w:textAlignment w:val="center"/>
              <w:rPr>
                <w:rFonts w:hint="eastAsia" w:ascii="仿宋_GB2312" w:hAnsi="仿宋_GB2312" w:eastAsia="仿宋_GB2312" w:cs="仿宋_GB2312"/>
                <w:kern w:val="0"/>
                <w:sz w:val="24"/>
                <w:szCs w:val="24"/>
              </w:rPr>
            </w:pPr>
          </w:p>
        </w:tc>
      </w:tr>
      <w:tr w14:paraId="663AEA6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2C6ED63">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648DBC3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互联网防火墙</w:t>
            </w:r>
          </w:p>
        </w:tc>
        <w:tc>
          <w:tcPr>
            <w:tcW w:w="2318" w:type="dxa"/>
            <w:tcBorders>
              <w:top w:val="single" w:color="auto" w:sz="4" w:space="0"/>
              <w:left w:val="nil"/>
              <w:bottom w:val="single" w:color="auto" w:sz="4" w:space="0"/>
              <w:right w:val="single" w:color="auto" w:sz="4" w:space="0"/>
            </w:tcBorders>
            <w:shd w:val="clear" w:color="auto" w:fill="auto"/>
            <w:vAlign w:val="center"/>
          </w:tcPr>
          <w:p w14:paraId="2C7A6E3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对企业互联侧实现设备+云平台形式立体化防护</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E3CEF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互联网边界防护服务，以本地安全部署和云平台大数据防护相结合形式，实现立体式防护，并可免费在线升级病毒库和更新防护版本，实现企业对互联网的有效防护。并可与工业防火墙搭配使用。满足终端安全、集成VPN、应用识别、IPS、入侵防御、AV防病毒、WEB防护、URL过滤、事件审计、问题定位等功能，提供立体化、云网化的安全防护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11887590">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0.3万元-10万元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3B12CAE3">
            <w:pPr>
              <w:widowControl/>
              <w:jc w:val="center"/>
              <w:textAlignment w:val="center"/>
              <w:rPr>
                <w:rFonts w:hint="eastAsia" w:ascii="仿宋_GB2312" w:hAnsi="仿宋_GB2312" w:eastAsia="仿宋_GB2312" w:cs="仿宋_GB2312"/>
                <w:kern w:val="0"/>
                <w:sz w:val="24"/>
                <w:szCs w:val="24"/>
              </w:rPr>
            </w:pPr>
          </w:p>
        </w:tc>
      </w:tr>
      <w:tr w14:paraId="0A29CCA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D3FBD38">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114B0FF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数字孪生</w:t>
            </w:r>
          </w:p>
        </w:tc>
        <w:tc>
          <w:tcPr>
            <w:tcW w:w="2318" w:type="dxa"/>
            <w:tcBorders>
              <w:top w:val="single" w:color="auto" w:sz="4" w:space="0"/>
              <w:left w:val="nil"/>
              <w:bottom w:val="single" w:color="auto" w:sz="4" w:space="0"/>
              <w:right w:val="single" w:color="auto" w:sz="4" w:space="0"/>
            </w:tcBorders>
            <w:shd w:val="clear" w:color="auto" w:fill="auto"/>
            <w:vAlign w:val="center"/>
          </w:tcPr>
          <w:p w14:paraId="07AF8179">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基于数字孪生底座，通过数据汇聚与展示，打造全场景的可视可管可控的工业园区智慧管控平台，该平台可助力企业降低园区管理风险和经营成本，提升园区智能化管理能力和企业竞争能力。</w:t>
            </w:r>
          </w:p>
        </w:tc>
        <w:tc>
          <w:tcPr>
            <w:tcW w:w="4387" w:type="dxa"/>
            <w:tcBorders>
              <w:top w:val="single" w:color="auto" w:sz="4" w:space="0"/>
              <w:left w:val="nil"/>
              <w:bottom w:val="single" w:color="auto" w:sz="4" w:space="0"/>
              <w:right w:val="single" w:color="auto" w:sz="4" w:space="0"/>
            </w:tcBorders>
            <w:shd w:val="clear" w:color="auto" w:fill="auto"/>
            <w:vAlign w:val="center"/>
          </w:tcPr>
          <w:p w14:paraId="7306A82A">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基于数字孪生技术，建设绿色低碳的智慧园区管理，打造集全要素可视化于一体的智慧园区运营管理平台，支撑园区日常管理、能耗管理、环境管理等，并实现人员、车辆、设备、产业管理进一步提升，以满足降本增效、智能运营、协同管理、辅助决策等业务需求。</w:t>
            </w:r>
          </w:p>
        </w:tc>
        <w:tc>
          <w:tcPr>
            <w:tcW w:w="1551" w:type="dxa"/>
            <w:tcBorders>
              <w:top w:val="single" w:color="auto" w:sz="4" w:space="0"/>
              <w:left w:val="nil"/>
              <w:bottom w:val="single" w:color="auto" w:sz="4" w:space="0"/>
              <w:right w:val="single" w:color="auto" w:sz="4" w:space="0"/>
            </w:tcBorders>
            <w:shd w:val="clear" w:color="auto" w:fill="auto"/>
            <w:vAlign w:val="center"/>
          </w:tcPr>
          <w:p w14:paraId="616E4FB6">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3万元-20万元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5FF4EE14">
            <w:pPr>
              <w:widowControl/>
              <w:jc w:val="center"/>
              <w:textAlignment w:val="center"/>
              <w:rPr>
                <w:rFonts w:hint="eastAsia" w:ascii="仿宋_GB2312" w:hAnsi="仿宋_GB2312" w:eastAsia="仿宋_GB2312" w:cs="仿宋_GB2312"/>
                <w:kern w:val="0"/>
                <w:sz w:val="24"/>
                <w:szCs w:val="24"/>
              </w:rPr>
            </w:pPr>
          </w:p>
        </w:tc>
      </w:tr>
      <w:tr w14:paraId="2DC3D81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09D2BCA">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28A5A74C">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小翼数采</w:t>
            </w:r>
          </w:p>
        </w:tc>
        <w:tc>
          <w:tcPr>
            <w:tcW w:w="2318" w:type="dxa"/>
            <w:tcBorders>
              <w:top w:val="single" w:color="auto" w:sz="4" w:space="0"/>
              <w:left w:val="nil"/>
              <w:bottom w:val="single" w:color="auto" w:sz="4" w:space="0"/>
              <w:right w:val="single" w:color="auto" w:sz="4" w:space="0"/>
            </w:tcBorders>
            <w:shd w:val="clear" w:color="auto" w:fill="auto"/>
            <w:vAlign w:val="center"/>
          </w:tcPr>
          <w:p w14:paraId="760FC9F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平台以工业协议云端适配为基础，面向电子、石化、家电、装备制造、纺织、汽车等生产制造企业，基于4/5G、NB、LoRa通讯提供动态协议接入能力，实现工厂PLC、单片机、仪器仪表等设备的接入和数据采集，并对接已有MES、ERP等系统；提供设备数据采集、设备产能分析（设备稼动率/OEE分析）、设备数据安全、设备运维管理（自检、巡检、点检）、看板管理、ESOP等功能，方便用户对设备运行情况进行实时监控和设备日常运维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56C37596">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实现工厂PLC设备接入、单片机设备、仪器仪表的接入和实现已有应用系统的互联互通；通过大数据汇总分析数据信息方式为厂家、消费者提供APP智能设备管理应用，方便使用者对设备运行情况进行查看与管控。</w:t>
            </w:r>
          </w:p>
        </w:tc>
        <w:tc>
          <w:tcPr>
            <w:tcW w:w="1551" w:type="dxa"/>
            <w:tcBorders>
              <w:top w:val="single" w:color="auto" w:sz="4" w:space="0"/>
              <w:left w:val="nil"/>
              <w:bottom w:val="single" w:color="auto" w:sz="4" w:space="0"/>
              <w:right w:val="single" w:color="auto" w:sz="4" w:space="0"/>
            </w:tcBorders>
            <w:shd w:val="clear" w:color="auto" w:fill="auto"/>
            <w:vAlign w:val="center"/>
          </w:tcPr>
          <w:p w14:paraId="2382D8EE">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0-20万元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6DC8E957">
            <w:pPr>
              <w:widowControl/>
              <w:jc w:val="center"/>
              <w:textAlignment w:val="center"/>
              <w:rPr>
                <w:rFonts w:hint="eastAsia" w:ascii="仿宋_GB2312" w:hAnsi="仿宋_GB2312" w:eastAsia="仿宋_GB2312" w:cs="仿宋_GB2312"/>
                <w:kern w:val="0"/>
                <w:sz w:val="24"/>
                <w:szCs w:val="24"/>
              </w:rPr>
            </w:pPr>
          </w:p>
        </w:tc>
      </w:tr>
      <w:tr w14:paraId="5EE8AC9B">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D44EDAD">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685ED618">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小翼质检</w:t>
            </w:r>
          </w:p>
        </w:tc>
        <w:tc>
          <w:tcPr>
            <w:tcW w:w="2318" w:type="dxa"/>
            <w:tcBorders>
              <w:top w:val="single" w:color="auto" w:sz="4" w:space="0"/>
              <w:left w:val="nil"/>
              <w:bottom w:val="single" w:color="auto" w:sz="4" w:space="0"/>
              <w:right w:val="single" w:color="auto" w:sz="4" w:space="0"/>
            </w:tcBorders>
            <w:shd w:val="clear" w:color="auto" w:fill="auto"/>
            <w:vAlign w:val="center"/>
          </w:tcPr>
          <w:p w14:paraId="1948452A">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小翼质检提供电机焊点线序检测、挂钩吸盘缺陷检测、布匹尺寸及缺陷检测、工程制图对比检测、标签物瑕疵监测、安全帽检测、标签文字识别等功能，助力企业生产降本增效</w:t>
            </w:r>
          </w:p>
        </w:tc>
        <w:tc>
          <w:tcPr>
            <w:tcW w:w="4387" w:type="dxa"/>
            <w:tcBorders>
              <w:top w:val="single" w:color="auto" w:sz="4" w:space="0"/>
              <w:left w:val="nil"/>
              <w:bottom w:val="single" w:color="auto" w:sz="4" w:space="0"/>
              <w:right w:val="single" w:color="auto" w:sz="4" w:space="0"/>
            </w:tcBorders>
            <w:shd w:val="clear" w:color="auto" w:fill="auto"/>
            <w:vAlign w:val="center"/>
          </w:tcPr>
          <w:p w14:paraId="04922C0F">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1551" w:type="dxa"/>
            <w:tcBorders>
              <w:top w:val="single" w:color="auto" w:sz="4" w:space="0"/>
              <w:left w:val="nil"/>
              <w:bottom w:val="single" w:color="auto" w:sz="4" w:space="0"/>
              <w:right w:val="single" w:color="auto" w:sz="4" w:space="0"/>
            </w:tcBorders>
            <w:shd w:val="clear" w:color="auto" w:fill="auto"/>
            <w:vAlign w:val="center"/>
          </w:tcPr>
          <w:p w14:paraId="76B10015">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1万元-50万元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7F5D0E26">
            <w:pPr>
              <w:widowControl/>
              <w:jc w:val="center"/>
              <w:textAlignment w:val="center"/>
              <w:rPr>
                <w:rFonts w:hint="eastAsia" w:ascii="仿宋_GB2312" w:hAnsi="仿宋_GB2312" w:eastAsia="仿宋_GB2312" w:cs="仿宋_GB2312"/>
                <w:kern w:val="0"/>
                <w:sz w:val="24"/>
                <w:szCs w:val="24"/>
              </w:rPr>
            </w:pPr>
          </w:p>
        </w:tc>
      </w:tr>
      <w:tr w14:paraId="170FD28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F32AA73">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75C1C615">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小翼监控</w:t>
            </w:r>
          </w:p>
        </w:tc>
        <w:tc>
          <w:tcPr>
            <w:tcW w:w="2318" w:type="dxa"/>
            <w:tcBorders>
              <w:top w:val="single" w:color="auto" w:sz="4" w:space="0"/>
              <w:left w:val="nil"/>
              <w:bottom w:val="single" w:color="auto" w:sz="4" w:space="0"/>
              <w:right w:val="single" w:color="auto" w:sz="4" w:space="0"/>
            </w:tcBorders>
            <w:shd w:val="clear" w:color="auto" w:fill="auto"/>
            <w:vAlign w:val="center"/>
          </w:tcPr>
          <w:p w14:paraId="25D8F85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围绕仓库管理、工厂外部车辆识别、事前防范和事后取证等园区安防三大常见问题，小翼监控平台通过视频监控 + AI智能分析，由外至内、全视角、全天候、全面监控工厂安全态势，主动识别风险，做到事前有效防范，事中有效控制，事后有效取证，在有效降低管理人员成本的同时，最大限度地降低误报和漏报现象，为工厂安全构筑有效屏障。</w:t>
            </w:r>
          </w:p>
        </w:tc>
        <w:tc>
          <w:tcPr>
            <w:tcW w:w="4387" w:type="dxa"/>
            <w:tcBorders>
              <w:top w:val="single" w:color="auto" w:sz="4" w:space="0"/>
              <w:left w:val="nil"/>
              <w:bottom w:val="single" w:color="auto" w:sz="4" w:space="0"/>
              <w:right w:val="single" w:color="auto" w:sz="4" w:space="0"/>
            </w:tcBorders>
            <w:shd w:val="clear" w:color="auto" w:fill="auto"/>
            <w:vAlign w:val="center"/>
          </w:tcPr>
          <w:p w14:paraId="0FBBB384">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面向工业行业监管场景化应用，以视频监控+AI应用为核心功能的大联网、小智能、轻应用、微方案视频应用平台。</w:t>
            </w:r>
          </w:p>
        </w:tc>
        <w:tc>
          <w:tcPr>
            <w:tcW w:w="1551" w:type="dxa"/>
            <w:tcBorders>
              <w:top w:val="single" w:color="auto" w:sz="4" w:space="0"/>
              <w:left w:val="nil"/>
              <w:bottom w:val="single" w:color="auto" w:sz="4" w:space="0"/>
              <w:right w:val="single" w:color="auto" w:sz="4" w:space="0"/>
            </w:tcBorders>
            <w:shd w:val="clear" w:color="auto" w:fill="auto"/>
            <w:vAlign w:val="center"/>
          </w:tcPr>
          <w:p w14:paraId="2EE2923D">
            <w:pPr>
              <w:widowControl/>
              <w:ind w:right="-171" w:rightChars="-61"/>
              <w:jc w:val="center"/>
              <w:textAlignment w:val="center"/>
              <w:rPr>
                <w:rFonts w:hint="eastAsia" w:ascii="仿宋_GB2312" w:hAnsi="仿宋_GB2312" w:cs="仿宋_GB2312"/>
                <w:kern w:val="0"/>
                <w:sz w:val="24"/>
                <w:szCs w:val="24"/>
              </w:rPr>
            </w:pPr>
            <w:r>
              <w:rPr>
                <w:rFonts w:hint="eastAsia" w:ascii="仿宋" w:hAnsi="仿宋" w:cs="仿宋"/>
                <w:color w:val="000000"/>
                <w:kern w:val="0"/>
                <w:sz w:val="24"/>
                <w:szCs w:val="24"/>
                <w:lang w:bidi="ar"/>
              </w:rPr>
              <w:t>1万元-10万元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45110C58">
            <w:pPr>
              <w:widowControl/>
              <w:jc w:val="center"/>
              <w:textAlignment w:val="center"/>
              <w:rPr>
                <w:rFonts w:hint="eastAsia" w:ascii="仿宋_GB2312" w:hAnsi="仿宋_GB2312" w:eastAsia="仿宋_GB2312" w:cs="仿宋_GB2312"/>
                <w:kern w:val="0"/>
                <w:sz w:val="24"/>
                <w:szCs w:val="24"/>
              </w:rPr>
            </w:pPr>
          </w:p>
        </w:tc>
      </w:tr>
      <w:tr w14:paraId="1A122E6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50C8F5C">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5DE4A219">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小翼安全</w:t>
            </w:r>
          </w:p>
        </w:tc>
        <w:tc>
          <w:tcPr>
            <w:tcW w:w="2318" w:type="dxa"/>
            <w:tcBorders>
              <w:top w:val="single" w:color="auto" w:sz="4" w:space="0"/>
              <w:left w:val="nil"/>
              <w:bottom w:val="single" w:color="auto" w:sz="4" w:space="0"/>
              <w:right w:val="single" w:color="auto" w:sz="4" w:space="0"/>
            </w:tcBorders>
            <w:shd w:val="clear" w:color="auto" w:fill="auto"/>
            <w:vAlign w:val="center"/>
          </w:tcPr>
          <w:p w14:paraId="272B8594">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对危险源进行基础信息管理，风险管控等级以及风险管控方案。</w:t>
            </w:r>
          </w:p>
          <w:p w14:paraId="4BB05934">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对隐患进行管理，通过计划、任务、治理、验收等完整隐患闭环流程。</w:t>
            </w:r>
          </w:p>
          <w:p w14:paraId="475B02F2">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对八大危险作业从业人员证书、审批、过程管理、实时监控等维度进行全过程数字化管理。</w:t>
            </w:r>
          </w:p>
          <w:p w14:paraId="098CDCB4">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提高企业对人员安全能力和素质培养的同时，满足各类监管要求。</w:t>
            </w:r>
          </w:p>
          <w:p w14:paraId="7BFB903F">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根据企业安全管理需求存储知识、应急预案等，自定义各类培训知识。</w:t>
            </w:r>
          </w:p>
        </w:tc>
        <w:tc>
          <w:tcPr>
            <w:tcW w:w="4387" w:type="dxa"/>
            <w:tcBorders>
              <w:top w:val="single" w:color="auto" w:sz="4" w:space="0"/>
              <w:left w:val="nil"/>
              <w:bottom w:val="single" w:color="auto" w:sz="4" w:space="0"/>
              <w:right w:val="single" w:color="auto" w:sz="4" w:space="0"/>
            </w:tcBorders>
            <w:shd w:val="clear" w:color="auto" w:fill="auto"/>
            <w:vAlign w:val="center"/>
          </w:tcPr>
          <w:p w14:paraId="7CD9BD30">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中国电信安全生产管理产品通过数字化、模块化和工具化的安全生产管理移动应用，解决企业风险最高的两大安全生产管理问题，降低安全管理工作强度，提高管理效率。</w:t>
            </w:r>
          </w:p>
        </w:tc>
        <w:tc>
          <w:tcPr>
            <w:tcW w:w="1551" w:type="dxa"/>
            <w:tcBorders>
              <w:top w:val="single" w:color="auto" w:sz="4" w:space="0"/>
              <w:left w:val="nil"/>
              <w:bottom w:val="single" w:color="auto" w:sz="4" w:space="0"/>
              <w:right w:val="single" w:color="auto" w:sz="4" w:space="0"/>
            </w:tcBorders>
            <w:shd w:val="clear" w:color="auto" w:fill="auto"/>
            <w:vAlign w:val="center"/>
          </w:tcPr>
          <w:p w14:paraId="483BE7D4">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标准平台10万元。其他硬件集成根据实际场景进行设计定价</w:t>
            </w:r>
          </w:p>
        </w:tc>
        <w:tc>
          <w:tcPr>
            <w:tcW w:w="3835" w:type="dxa"/>
            <w:tcBorders>
              <w:top w:val="single" w:color="auto" w:sz="4" w:space="0"/>
              <w:left w:val="nil"/>
              <w:bottom w:val="single" w:color="auto" w:sz="4" w:space="0"/>
              <w:right w:val="single" w:color="auto" w:sz="4" w:space="0"/>
            </w:tcBorders>
            <w:shd w:val="clear" w:color="auto" w:fill="auto"/>
            <w:vAlign w:val="center"/>
          </w:tcPr>
          <w:p w14:paraId="3D398090">
            <w:pPr>
              <w:widowControl/>
              <w:jc w:val="center"/>
              <w:textAlignment w:val="center"/>
              <w:rPr>
                <w:rFonts w:hint="eastAsia" w:ascii="仿宋_GB2312" w:hAnsi="仿宋_GB2312" w:eastAsia="仿宋_GB2312" w:cs="仿宋_GB2312"/>
                <w:kern w:val="0"/>
                <w:sz w:val="24"/>
                <w:szCs w:val="24"/>
              </w:rPr>
            </w:pPr>
          </w:p>
        </w:tc>
      </w:tr>
      <w:tr w14:paraId="014099E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68A2BBC">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3DBCA5BC">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综能管理系统（能耗云）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092F005B">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包括能耗驾驶舱、能源数据可视化展示精细管理、能源流向可视化展示、多场景、全方位监控设备运行环境、电力设备状态监测防控、实现远程智能化巡检、辅助碳交易管理等功能</w:t>
            </w:r>
          </w:p>
        </w:tc>
        <w:tc>
          <w:tcPr>
            <w:tcW w:w="4387" w:type="dxa"/>
            <w:tcBorders>
              <w:top w:val="single" w:color="auto" w:sz="4" w:space="0"/>
              <w:left w:val="nil"/>
              <w:bottom w:val="single" w:color="auto" w:sz="4" w:space="0"/>
              <w:right w:val="single" w:color="auto" w:sz="4" w:space="0"/>
            </w:tcBorders>
            <w:shd w:val="clear" w:color="auto" w:fill="auto"/>
            <w:vAlign w:val="center"/>
          </w:tcPr>
          <w:p w14:paraId="6B2D5B7A">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1551" w:type="dxa"/>
            <w:tcBorders>
              <w:top w:val="single" w:color="auto" w:sz="4" w:space="0"/>
              <w:left w:val="nil"/>
              <w:bottom w:val="single" w:color="auto" w:sz="4" w:space="0"/>
              <w:right w:val="single" w:color="auto" w:sz="4" w:space="0"/>
            </w:tcBorders>
            <w:shd w:val="clear" w:color="auto" w:fill="auto"/>
            <w:vAlign w:val="center"/>
          </w:tcPr>
          <w:p w14:paraId="461B4EE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20万元-50万元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20AEF03A">
            <w:pPr>
              <w:widowControl/>
              <w:jc w:val="center"/>
              <w:textAlignment w:val="center"/>
              <w:rPr>
                <w:rFonts w:hint="eastAsia" w:ascii="仿宋_GB2312" w:hAnsi="仿宋_GB2312" w:eastAsia="仿宋_GB2312" w:cs="仿宋_GB2312"/>
                <w:kern w:val="0"/>
                <w:sz w:val="24"/>
                <w:szCs w:val="24"/>
              </w:rPr>
            </w:pPr>
          </w:p>
        </w:tc>
      </w:tr>
      <w:tr w14:paraId="32C9FAFB">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65CEDB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561935B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星海智文</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2D97F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102B93A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上传企业文档、政策文件、法律法规等文件，利用大模型建设企业知识库，用户通过对话方式检索知识、智能问答、文档摘要、文章写作等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72CB6A7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-100万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/套</w:t>
            </w:r>
          </w:p>
        </w:tc>
        <w:tc>
          <w:tcPr>
            <w:tcW w:w="3835" w:type="dxa"/>
            <w:tcBorders>
              <w:top w:val="single" w:color="auto" w:sz="4" w:space="0"/>
              <w:left w:val="nil"/>
              <w:bottom w:val="single" w:color="auto" w:sz="4" w:space="0"/>
              <w:right w:val="single" w:color="auto" w:sz="4" w:space="0"/>
            </w:tcBorders>
            <w:shd w:val="clear" w:color="auto" w:fill="auto"/>
            <w:vAlign w:val="center"/>
          </w:tcPr>
          <w:p w14:paraId="00C0556A">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r w14:paraId="0D11FEE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9AE3ED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AD4E7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智能商业数据分析TeleBI</w:t>
            </w:r>
          </w:p>
        </w:tc>
        <w:tc>
          <w:tcPr>
            <w:tcW w:w="2318" w:type="dxa"/>
            <w:tcBorders>
              <w:top w:val="single" w:color="auto" w:sz="4" w:space="0"/>
              <w:left w:val="nil"/>
              <w:bottom w:val="single" w:color="auto" w:sz="4" w:space="0"/>
              <w:right w:val="single" w:color="auto" w:sz="4" w:space="0"/>
            </w:tcBorders>
            <w:shd w:val="clear" w:color="auto" w:fill="auto"/>
            <w:vAlign w:val="center"/>
          </w:tcPr>
          <w:p w14:paraId="1FA70F7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6708BD3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融合AI大模型和自然语言处理技术，无需专业技能，通过日常对话即可快速获取数据，即时自动生成可视化图表、深度洞察、智能报告等，助力企业快速挖掘数据价值，提升业务效能。</w:t>
            </w:r>
          </w:p>
        </w:tc>
        <w:tc>
          <w:tcPr>
            <w:tcW w:w="1551" w:type="dxa"/>
            <w:tcBorders>
              <w:top w:val="single" w:color="auto" w:sz="4" w:space="0"/>
              <w:left w:val="nil"/>
              <w:bottom w:val="single" w:color="auto" w:sz="4" w:space="0"/>
              <w:right w:val="single" w:color="auto" w:sz="4" w:space="0"/>
            </w:tcBorders>
            <w:shd w:val="clear" w:color="auto" w:fill="auto"/>
            <w:vAlign w:val="center"/>
          </w:tcPr>
          <w:p w14:paraId="554FCC4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-200万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/套</w:t>
            </w:r>
          </w:p>
        </w:tc>
        <w:tc>
          <w:tcPr>
            <w:tcW w:w="3835" w:type="dxa"/>
            <w:tcBorders>
              <w:top w:val="single" w:color="auto" w:sz="4" w:space="0"/>
              <w:left w:val="nil"/>
              <w:bottom w:val="single" w:color="auto" w:sz="4" w:space="0"/>
              <w:right w:val="single" w:color="auto" w:sz="4" w:space="0"/>
            </w:tcBorders>
            <w:shd w:val="clear" w:color="auto" w:fill="auto"/>
            <w:vAlign w:val="center"/>
          </w:tcPr>
          <w:p w14:paraId="715CD62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r w14:paraId="279E98F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66BAF5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17</w:t>
            </w:r>
          </w:p>
        </w:tc>
        <w:tc>
          <w:tcPr>
            <w:tcW w:w="1511" w:type="dxa"/>
            <w:tcBorders>
              <w:top w:val="single" w:color="auto" w:sz="4" w:space="0"/>
              <w:left w:val="nil"/>
              <w:bottom w:val="single" w:color="auto" w:sz="4" w:space="0"/>
              <w:right w:val="single" w:color="auto" w:sz="4" w:space="0"/>
            </w:tcBorders>
            <w:shd w:val="clear" w:color="auto" w:fill="auto"/>
            <w:vAlign w:val="center"/>
          </w:tcPr>
          <w:p w14:paraId="6C327FE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智能体开发运营平台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860F4C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6A9BD49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打造新一代云原生多模态、融大模型的对话机器人能力平台，内置多种对话能力，开箱</w:t>
            </w:r>
          </w:p>
          <w:p w14:paraId="7738155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即用，快速上线；满足行业需求和自定义场景，为企业定制专业、稳定的对话系统提供全方位支持。</w:t>
            </w:r>
          </w:p>
        </w:tc>
        <w:tc>
          <w:tcPr>
            <w:tcW w:w="1551" w:type="dxa"/>
            <w:tcBorders>
              <w:top w:val="single" w:color="auto" w:sz="4" w:space="0"/>
              <w:left w:val="nil"/>
              <w:bottom w:val="single" w:color="auto" w:sz="4" w:space="0"/>
              <w:right w:val="single" w:color="auto" w:sz="4" w:space="0"/>
            </w:tcBorders>
            <w:shd w:val="clear" w:color="auto" w:fill="auto"/>
            <w:vAlign w:val="center"/>
          </w:tcPr>
          <w:p w14:paraId="3D98E04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-100万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/套</w:t>
            </w:r>
          </w:p>
        </w:tc>
        <w:tc>
          <w:tcPr>
            <w:tcW w:w="3835" w:type="dxa"/>
            <w:tcBorders>
              <w:top w:val="single" w:color="auto" w:sz="4" w:space="0"/>
              <w:left w:val="nil"/>
              <w:bottom w:val="single" w:color="auto" w:sz="4" w:space="0"/>
              <w:right w:val="single" w:color="auto" w:sz="4" w:space="0"/>
            </w:tcBorders>
            <w:shd w:val="clear" w:color="auto" w:fill="auto"/>
            <w:vAlign w:val="center"/>
          </w:tcPr>
          <w:p w14:paraId="2CE042D5">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r w14:paraId="410D898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A5EDCD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18</w:t>
            </w:r>
          </w:p>
        </w:tc>
        <w:tc>
          <w:tcPr>
            <w:tcW w:w="1511" w:type="dxa"/>
            <w:tcBorders>
              <w:top w:val="single" w:color="auto" w:sz="4" w:space="0"/>
              <w:left w:val="nil"/>
              <w:bottom w:val="single" w:color="auto" w:sz="4" w:space="0"/>
              <w:right w:val="single" w:color="auto" w:sz="4" w:space="0"/>
            </w:tcBorders>
            <w:shd w:val="clear" w:color="auto" w:fill="auto"/>
            <w:vAlign w:val="center"/>
          </w:tcPr>
          <w:p w14:paraId="744B559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最小应急单元应用平台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920274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318F8DF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通过AI智能化手段并将突发事件 (打架斗殴、持刀持械)制止在萌芽状态，防止恶性事件发生，降低案发率和违规行为。</w:t>
            </w:r>
          </w:p>
        </w:tc>
        <w:tc>
          <w:tcPr>
            <w:tcW w:w="1551" w:type="dxa"/>
            <w:tcBorders>
              <w:top w:val="single" w:color="auto" w:sz="4" w:space="0"/>
              <w:left w:val="nil"/>
              <w:bottom w:val="single" w:color="auto" w:sz="4" w:space="0"/>
              <w:right w:val="single" w:color="auto" w:sz="4" w:space="0"/>
            </w:tcBorders>
            <w:shd w:val="clear" w:color="auto" w:fill="auto"/>
            <w:vAlign w:val="center"/>
          </w:tcPr>
          <w:p w14:paraId="6B45CE9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-500万</w:t>
            </w:r>
            <w:r>
              <w:rPr>
                <w:rFonts w:hint="eastAsia" w:ascii="仿宋" w:hAnsi="仿宋" w:cs="仿宋"/>
                <w:color w:val="000000"/>
                <w:kern w:val="0"/>
                <w:sz w:val="24"/>
                <w:szCs w:val="24"/>
                <w:lang w:bidi="ar"/>
              </w:rPr>
              <w:t>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70124CFE">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r w14:paraId="50DDFCD4">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F624A0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19</w:t>
            </w:r>
          </w:p>
        </w:tc>
        <w:tc>
          <w:tcPr>
            <w:tcW w:w="1511" w:type="dxa"/>
            <w:tcBorders>
              <w:top w:val="single" w:color="auto" w:sz="4" w:space="0"/>
              <w:left w:val="nil"/>
              <w:bottom w:val="single" w:color="auto" w:sz="4" w:space="0"/>
              <w:right w:val="single" w:color="auto" w:sz="4" w:space="0"/>
            </w:tcBorders>
            <w:shd w:val="clear" w:color="auto" w:fill="auto"/>
            <w:vAlign w:val="center"/>
          </w:tcPr>
          <w:p w14:paraId="38BFA32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color w:val="000000" w:themeColor="text1"/>
                <w:kern w:val="0"/>
                <w:sz w:val="24"/>
                <w:szCs w:val="24"/>
                <w14:textFill>
                  <w14:solidFill>
                    <w14:schemeClr w14:val="tx1"/>
                  </w14:solidFill>
                </w14:textFill>
              </w:rPr>
              <w:t>视联智网平台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AE3AFA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7BD60C8D">
            <w:pPr>
              <w:widowControl/>
              <w:tabs>
                <w:tab w:val="left" w:pos="1316"/>
              </w:tabs>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视联智网平台是中国电信自主研发的智能边缘计算产品，产品采用自主研发的深度学习算法，集视频接入、解析、管理、应用于一体，具有算力强大、算法丰富、稳定可靠等特点，可广泛应用智慧园区、安监生产等场景，可有效提升视频监控价值，提高安防管理效率。可根据实际需求灵活调用，轻松适配各类场景。包括：人脸抓拍比对、口罩识别、车辆识别、人员跌倒、人群聚集、快速移动、打架斗殴、人员越线、区域入侵、垃圾桶满溢、烟雾检测、火点检测、安全帽识别、反光衣识别、人员离岗、双人在岗、玩手机检测、电瓶车进入电梯、抽烟检测、打电话检测。</w:t>
            </w:r>
          </w:p>
        </w:tc>
        <w:tc>
          <w:tcPr>
            <w:tcW w:w="1551" w:type="dxa"/>
            <w:tcBorders>
              <w:top w:val="single" w:color="auto" w:sz="4" w:space="0"/>
              <w:left w:val="nil"/>
              <w:bottom w:val="single" w:color="auto" w:sz="4" w:space="0"/>
              <w:right w:val="single" w:color="auto" w:sz="4" w:space="0"/>
            </w:tcBorders>
            <w:shd w:val="clear" w:color="auto" w:fill="auto"/>
            <w:vAlign w:val="center"/>
          </w:tcPr>
          <w:p w14:paraId="5DAC859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0.6万元起</w:t>
            </w:r>
          </w:p>
        </w:tc>
        <w:tc>
          <w:tcPr>
            <w:tcW w:w="3835" w:type="dxa"/>
            <w:tcBorders>
              <w:top w:val="single" w:color="auto" w:sz="4" w:space="0"/>
              <w:left w:val="nil"/>
              <w:bottom w:val="single" w:color="auto" w:sz="4" w:space="0"/>
              <w:right w:val="single" w:color="auto" w:sz="4" w:space="0"/>
            </w:tcBorders>
            <w:shd w:val="clear" w:color="auto" w:fill="auto"/>
            <w:vAlign w:val="center"/>
          </w:tcPr>
          <w:p w14:paraId="3E8DE22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r w14:paraId="71041595">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F3942E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20</w:t>
            </w:r>
          </w:p>
        </w:tc>
        <w:tc>
          <w:tcPr>
            <w:tcW w:w="1511" w:type="dxa"/>
            <w:tcBorders>
              <w:top w:val="single" w:color="auto" w:sz="4" w:space="0"/>
              <w:left w:val="nil"/>
              <w:bottom w:val="single" w:color="auto" w:sz="4" w:space="0"/>
              <w:right w:val="single" w:color="auto" w:sz="4" w:space="0"/>
            </w:tcBorders>
            <w:shd w:val="clear" w:color="auto" w:fill="auto"/>
            <w:vAlign w:val="center"/>
          </w:tcPr>
          <w:p w14:paraId="02C89BB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color w:val="000000" w:themeColor="text1"/>
                <w:kern w:val="0"/>
                <w:sz w:val="24"/>
                <w:szCs w:val="24"/>
                <w14:textFill>
                  <w14:solidFill>
                    <w14:schemeClr w14:val="tx1"/>
                  </w14:solidFill>
                </w14:textFill>
              </w:rPr>
              <w:t>星辰大模型平台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50AA8C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64FA9AD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星辰大模型平台标准版是中国电信自主研发的智能边缘计算产品，集视频接入、解析、管理、应用于—体，部署灵活，操作方便，运维简单，即可实现Al 业务闭环，预置6 大类10 余种算法，用户可根据实际需求灵活调用，轻松适配各类场景，包括：人脸识别、行为分析、安全生产、车辆识别、周界防范、城市治理等。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7D12F6D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按不同规格</w:t>
            </w:r>
          </w:p>
          <w:p w14:paraId="5B94233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-15万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/个（硬件</w:t>
            </w:r>
          </w:p>
        </w:tc>
        <w:tc>
          <w:tcPr>
            <w:tcW w:w="3835" w:type="dxa"/>
            <w:tcBorders>
              <w:top w:val="single" w:color="auto" w:sz="4" w:space="0"/>
              <w:left w:val="nil"/>
              <w:bottom w:val="single" w:color="auto" w:sz="4" w:space="0"/>
              <w:right w:val="single" w:color="auto" w:sz="4" w:space="0"/>
            </w:tcBorders>
            <w:shd w:val="clear" w:color="auto" w:fill="auto"/>
            <w:vAlign w:val="center"/>
          </w:tcPr>
          <w:p w14:paraId="5D17ED17">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bl>
    <w:p w14:paraId="44BCE7B2">
      <w:pPr>
        <w:pStyle w:val="2"/>
      </w:pPr>
    </w:p>
    <w:p w14:paraId="1E11672A">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1CAF8562">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（五）联合体成员：广东鑫兴科技有限公司/广东腾一科技有限公司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2184"/>
        <w:gridCol w:w="3220"/>
      </w:tblGrid>
      <w:tr w14:paraId="3A7250E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9CD34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F60FF2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728C71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26AB45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184" w:type="dxa"/>
            <w:tcBorders>
              <w:top w:val="single" w:color="auto" w:sz="4" w:space="0"/>
              <w:left w:val="nil"/>
              <w:bottom w:val="single" w:color="auto" w:sz="4" w:space="0"/>
              <w:right w:val="single" w:color="auto" w:sz="4" w:space="0"/>
            </w:tcBorders>
            <w:shd w:val="clear" w:color="auto" w:fill="auto"/>
            <w:vAlign w:val="center"/>
          </w:tcPr>
          <w:p w14:paraId="32955887">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220" w:type="dxa"/>
            <w:tcBorders>
              <w:top w:val="single" w:color="auto" w:sz="4" w:space="0"/>
              <w:left w:val="nil"/>
              <w:bottom w:val="single" w:color="auto" w:sz="4" w:space="0"/>
              <w:right w:val="single" w:color="auto" w:sz="4" w:space="0"/>
            </w:tcBorders>
            <w:shd w:val="clear" w:color="auto" w:fill="auto"/>
            <w:vAlign w:val="center"/>
          </w:tcPr>
          <w:p w14:paraId="2672149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EE1013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E9673B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E201B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工业互联网标识公共服务平台</w:t>
            </w:r>
          </w:p>
        </w:tc>
        <w:tc>
          <w:tcPr>
            <w:tcW w:w="2318" w:type="dxa"/>
            <w:vMerge w:val="restart"/>
            <w:tcBorders>
              <w:top w:val="single" w:color="auto" w:sz="4" w:space="0"/>
              <w:left w:val="nil"/>
              <w:right w:val="single" w:color="auto" w:sz="4" w:space="0"/>
            </w:tcBorders>
            <w:shd w:val="clear" w:color="auto" w:fill="auto"/>
            <w:vAlign w:val="center"/>
          </w:tcPr>
          <w:p w14:paraId="0568488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业互联网标识公共服务平台依托工业互联网标识解析体系，实现生产管控工业全要素环节（原材料、生产制造、物流运输、分发销售、使用）的信息互通，解决全要素的全生命周期中异地、异构产品信息的查询、管理、共享。</w:t>
            </w:r>
          </w:p>
        </w:tc>
        <w:tc>
          <w:tcPr>
            <w:tcW w:w="4387" w:type="dxa"/>
            <w:tcBorders>
              <w:top w:val="single" w:color="auto" w:sz="4" w:space="0"/>
              <w:left w:val="nil"/>
              <w:bottom w:val="single" w:color="auto" w:sz="4" w:space="0"/>
              <w:right w:val="single" w:color="auto" w:sz="4" w:space="0"/>
            </w:tcBorders>
            <w:shd w:val="clear" w:color="auto" w:fill="auto"/>
            <w:vAlign w:val="center"/>
          </w:tcPr>
          <w:p w14:paraId="0CB26F48">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结合客户标识应用需求，部署建设工业互联网标识公共服务平台，提供用户登录、标识前缀管理、标识创建、标识检索、标识数据统计等服务功能。相关标识管理和标识应用数据实现私有化存储，完成平台部署实施和调试测试，并提供相关售后维护服务（售后维护期为一年）；</w:t>
            </w:r>
          </w:p>
          <w:p w14:paraId="3463DEA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2.与国家顶级节点的连通，实现注册的标识能在国家顶级节点进行查询解析；</w:t>
            </w:r>
          </w:p>
          <w:p w14:paraId="76613056">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3.部署标识解析展示功能模块，支持标识嵌套多层展现，支持轻量级的标识解析展现功能，无需任何APP或微信小程序实现工业互联网标识的解析展现；</w:t>
            </w:r>
          </w:p>
          <w:p w14:paraId="09884FA0">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4.提供《工业互联网标识公共服务平台用户手册》、《工业互联网标识公共服务平台部署手册》，提供后续使用的技术支持。</w:t>
            </w:r>
          </w:p>
        </w:tc>
        <w:tc>
          <w:tcPr>
            <w:tcW w:w="2184" w:type="dxa"/>
            <w:tcBorders>
              <w:top w:val="single" w:color="auto" w:sz="4" w:space="0"/>
              <w:left w:val="nil"/>
              <w:bottom w:val="single" w:color="auto" w:sz="4" w:space="0"/>
              <w:right w:val="single" w:color="auto" w:sz="4" w:space="0"/>
            </w:tcBorders>
            <w:shd w:val="clear" w:color="auto" w:fill="auto"/>
            <w:vAlign w:val="center"/>
          </w:tcPr>
          <w:p w14:paraId="4D6374AE">
            <w:pPr>
              <w:widowControl/>
              <w:ind w:right="-171" w:rightChars="-61"/>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55.8</w:t>
            </w:r>
            <w:r>
              <w:rPr>
                <w:rFonts w:hint="eastAsia" w:ascii="仿宋" w:hAnsi="仿宋" w:cs="仿宋"/>
                <w:color w:val="000000"/>
                <w:kern w:val="0"/>
                <w:sz w:val="24"/>
                <w:szCs w:val="24"/>
                <w:lang w:val="en-US" w:eastAsia="zh-CN" w:bidi="ar"/>
              </w:rPr>
              <w:t>万</w:t>
            </w:r>
            <w:r>
              <w:rPr>
                <w:rFonts w:hint="eastAsia" w:ascii="仿宋" w:hAnsi="仿宋" w:cs="仿宋"/>
                <w:color w:val="000000"/>
                <w:kern w:val="0"/>
                <w:sz w:val="24"/>
                <w:szCs w:val="24"/>
                <w:lang w:bidi="ar"/>
              </w:rPr>
              <w:t>元-80万元</w:t>
            </w:r>
          </w:p>
        </w:tc>
        <w:tc>
          <w:tcPr>
            <w:tcW w:w="3220" w:type="dxa"/>
            <w:tcBorders>
              <w:top w:val="single" w:color="auto" w:sz="4" w:space="0"/>
              <w:left w:val="nil"/>
              <w:bottom w:val="single" w:color="auto" w:sz="4" w:space="0"/>
              <w:right w:val="single" w:color="auto" w:sz="4" w:space="0"/>
            </w:tcBorders>
            <w:shd w:val="clear" w:color="auto" w:fill="auto"/>
            <w:vAlign w:val="center"/>
          </w:tcPr>
          <w:p w14:paraId="2C527AC6">
            <w:pPr>
              <w:widowControl/>
              <w:jc w:val="left"/>
              <w:textAlignment w:val="center"/>
              <w:rPr>
                <w:rFonts w:hint="eastAsia" w:ascii="仿宋_GB2312" w:hAnsi="仿宋_GB2312" w:eastAsia="仿宋_GB2312" w:cs="仿宋_GB2312"/>
                <w:kern w:val="0"/>
                <w:sz w:val="24"/>
                <w:szCs w:val="24"/>
              </w:rPr>
            </w:pPr>
          </w:p>
        </w:tc>
      </w:tr>
      <w:tr w14:paraId="6F4AD4D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8F96C6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3BFC2BF">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工业互联网标识公共服务（标识应用中间件及SaaS服务）</w:t>
            </w:r>
          </w:p>
        </w:tc>
        <w:tc>
          <w:tcPr>
            <w:tcW w:w="2318" w:type="dxa"/>
            <w:vMerge w:val="continue"/>
            <w:tcBorders>
              <w:left w:val="nil"/>
              <w:bottom w:val="single" w:color="auto" w:sz="4" w:space="0"/>
              <w:right w:val="single" w:color="auto" w:sz="4" w:space="0"/>
            </w:tcBorders>
            <w:shd w:val="clear" w:color="auto" w:fill="auto"/>
            <w:vAlign w:val="center"/>
          </w:tcPr>
          <w:p w14:paraId="5E9ED660">
            <w:pPr>
              <w:ind w:right="-154" w:rightChars="-55"/>
              <w:jc w:val="center"/>
              <w:rPr>
                <w:rFonts w:hint="eastAsia" w:ascii="仿宋_GB2312" w:hAnsi="仿宋_GB2312" w:eastAsia="仿宋_GB2312" w:cs="仿宋_GB2312"/>
                <w:kern w:val="0"/>
                <w:sz w:val="24"/>
                <w:szCs w:val="24"/>
              </w:rPr>
            </w:pPr>
          </w:p>
        </w:tc>
        <w:tc>
          <w:tcPr>
            <w:tcW w:w="4387" w:type="dxa"/>
            <w:tcBorders>
              <w:top w:val="single" w:color="auto" w:sz="4" w:space="0"/>
              <w:left w:val="nil"/>
              <w:bottom w:val="single" w:color="auto" w:sz="4" w:space="0"/>
              <w:right w:val="single" w:color="auto" w:sz="4" w:space="0"/>
            </w:tcBorders>
            <w:shd w:val="clear" w:color="auto" w:fill="auto"/>
            <w:vAlign w:val="center"/>
          </w:tcPr>
          <w:p w14:paraId="0E931B89">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1.提供工业互联网标识相关各项基础服务；</w:t>
            </w:r>
          </w:p>
          <w:p w14:paraId="3C941782">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2.协助企业供应链管理，基于工业互联网标识辅助供应链数据分析、质量信息协同、供货计划协同等业务。提供用户登录、标识前缀管理、标识创建、标识检索、标识数据统计等服务；</w:t>
            </w:r>
          </w:p>
          <w:p w14:paraId="1856ADAC">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3.与国家顶级节点的连通，实现注册的标识能在国家顶级节点进行查询解析。</w:t>
            </w:r>
          </w:p>
        </w:tc>
        <w:tc>
          <w:tcPr>
            <w:tcW w:w="2184" w:type="dxa"/>
            <w:tcBorders>
              <w:top w:val="single" w:color="auto" w:sz="4" w:space="0"/>
              <w:left w:val="nil"/>
              <w:bottom w:val="single" w:color="auto" w:sz="4" w:space="0"/>
              <w:right w:val="single" w:color="auto" w:sz="4" w:space="0"/>
            </w:tcBorders>
            <w:shd w:val="clear" w:color="auto" w:fill="auto"/>
            <w:vAlign w:val="center"/>
          </w:tcPr>
          <w:p w14:paraId="505151FC">
            <w:pPr>
              <w:widowControl/>
              <w:ind w:right="-171" w:rightChars="-61"/>
              <w:textAlignment w:val="center"/>
              <w:rPr>
                <w:rFonts w:hint="eastAsia" w:ascii="仿宋_GB2312" w:hAnsi="仿宋_GB2312" w:eastAsia="仿宋_GB2312" w:cs="仿宋_GB2312"/>
                <w:kern w:val="0"/>
                <w:sz w:val="24"/>
                <w:szCs w:val="24"/>
              </w:rPr>
            </w:pPr>
            <w:r>
              <w:rPr>
                <w:rFonts w:hint="eastAsia" w:ascii="仿宋" w:hAnsi="仿宋" w:cs="仿宋"/>
                <w:color w:val="auto"/>
                <w:kern w:val="0"/>
                <w:sz w:val="24"/>
                <w:szCs w:val="24"/>
                <w:lang w:val="en-US" w:eastAsia="zh-CN" w:bidi="ar"/>
              </w:rPr>
              <w:t>0.</w:t>
            </w:r>
            <w:r>
              <w:rPr>
                <w:rFonts w:hint="eastAsia" w:ascii="仿宋" w:hAnsi="仿宋" w:cs="仿宋"/>
                <w:color w:val="auto"/>
                <w:kern w:val="0"/>
                <w:sz w:val="24"/>
                <w:szCs w:val="24"/>
                <w:lang w:bidi="ar"/>
              </w:rPr>
              <w:t>68</w:t>
            </w:r>
            <w:r>
              <w:rPr>
                <w:rFonts w:hint="eastAsia" w:ascii="仿宋" w:hAnsi="仿宋" w:cs="仿宋"/>
                <w:color w:val="auto"/>
                <w:kern w:val="0"/>
                <w:sz w:val="24"/>
                <w:szCs w:val="24"/>
                <w:lang w:val="en-US" w:eastAsia="zh-CN" w:bidi="ar"/>
              </w:rPr>
              <w:t>万</w:t>
            </w:r>
            <w:r>
              <w:rPr>
                <w:rFonts w:hint="eastAsia" w:ascii="仿宋" w:hAnsi="仿宋" w:cs="仿宋"/>
                <w:color w:val="auto"/>
                <w:kern w:val="0"/>
                <w:sz w:val="24"/>
                <w:szCs w:val="24"/>
                <w:lang w:bidi="ar"/>
              </w:rPr>
              <w:t>元-5</w:t>
            </w:r>
            <w:r>
              <w:rPr>
                <w:rFonts w:hint="eastAsia" w:ascii="仿宋" w:hAnsi="仿宋" w:cs="仿宋"/>
                <w:color w:val="auto"/>
                <w:kern w:val="0"/>
                <w:sz w:val="24"/>
                <w:szCs w:val="24"/>
                <w:lang w:val="en-US" w:eastAsia="zh-CN" w:bidi="ar"/>
              </w:rPr>
              <w:t>万</w:t>
            </w:r>
            <w:r>
              <w:rPr>
                <w:rFonts w:hint="eastAsia" w:ascii="仿宋" w:hAnsi="仿宋" w:cs="仿宋"/>
                <w:color w:val="auto"/>
                <w:kern w:val="0"/>
                <w:sz w:val="24"/>
                <w:szCs w:val="24"/>
                <w:lang w:bidi="ar"/>
              </w:rPr>
              <w:t>元</w:t>
            </w:r>
          </w:p>
        </w:tc>
        <w:tc>
          <w:tcPr>
            <w:tcW w:w="3220" w:type="dxa"/>
            <w:tcBorders>
              <w:top w:val="single" w:color="auto" w:sz="4" w:space="0"/>
              <w:left w:val="nil"/>
              <w:bottom w:val="single" w:color="auto" w:sz="4" w:space="0"/>
              <w:right w:val="single" w:color="auto" w:sz="4" w:space="0"/>
            </w:tcBorders>
            <w:shd w:val="clear" w:color="auto" w:fill="auto"/>
            <w:vAlign w:val="center"/>
          </w:tcPr>
          <w:p w14:paraId="1A6CFD75">
            <w:pPr>
              <w:widowControl/>
              <w:jc w:val="left"/>
              <w:textAlignment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修订</w:t>
            </w:r>
          </w:p>
        </w:tc>
      </w:tr>
    </w:tbl>
    <w:p w14:paraId="7BC31BE4">
      <w:r>
        <w:br w:type="page"/>
      </w:r>
    </w:p>
    <w:p w14:paraId="07120546">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六</w:t>
      </w:r>
      <w:r>
        <w:rPr>
          <w:rFonts w:hint="eastAsia" w:ascii="仿宋_GB2312" w:hAnsi="仿宋_GB2312" w:eastAsia="仿宋_GB2312" w:cs="仿宋_GB2312"/>
          <w:bCs/>
          <w:sz w:val="32"/>
          <w:szCs w:val="32"/>
        </w:rPr>
        <w:t>）联合体成员：北京数码大方科技股份有限公司/广东腾一科技有限公司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745"/>
        <w:gridCol w:w="3641"/>
      </w:tblGrid>
      <w:tr w14:paraId="3E3F229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61034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79C6B09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672C61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0C2528D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745" w:type="dxa"/>
            <w:tcBorders>
              <w:top w:val="single" w:color="auto" w:sz="4" w:space="0"/>
              <w:left w:val="nil"/>
              <w:bottom w:val="single" w:color="auto" w:sz="4" w:space="0"/>
              <w:right w:val="single" w:color="auto" w:sz="4" w:space="0"/>
            </w:tcBorders>
            <w:shd w:val="clear" w:color="auto" w:fill="auto"/>
            <w:vAlign w:val="center"/>
          </w:tcPr>
          <w:p w14:paraId="089D399F">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641" w:type="dxa"/>
            <w:tcBorders>
              <w:top w:val="single" w:color="auto" w:sz="4" w:space="0"/>
              <w:left w:val="nil"/>
              <w:bottom w:val="single" w:color="auto" w:sz="4" w:space="0"/>
              <w:right w:val="single" w:color="auto" w:sz="4" w:space="0"/>
            </w:tcBorders>
            <w:shd w:val="clear" w:color="auto" w:fill="auto"/>
            <w:vAlign w:val="center"/>
          </w:tcPr>
          <w:p w14:paraId="12B836F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5782860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71F23AC">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0A83A07">
            <w:pPr>
              <w:widowControl/>
              <w:jc w:val="center"/>
              <w:textAlignment w:val="center"/>
              <w:rPr>
                <w:rFonts w:hint="eastAsia" w:ascii="仿宋_GB2312" w:hAnsi="仿宋_GB2312" w:cs="仿宋_GB2312"/>
                <w:kern w:val="0"/>
                <w:sz w:val="24"/>
                <w:szCs w:val="24"/>
              </w:rPr>
            </w:pPr>
            <w:r>
              <w:rPr>
                <w:rFonts w:hint="eastAsia" w:ascii="仿宋" w:hAnsi="仿宋" w:cs="仿宋"/>
                <w:color w:val="000000"/>
                <w:kern w:val="0"/>
                <w:sz w:val="24"/>
                <w:szCs w:val="24"/>
                <w:lang w:bidi="ar"/>
              </w:rPr>
              <w:t>CAXA PLM 协同管理软件 V2025</w:t>
            </w:r>
          </w:p>
        </w:tc>
        <w:tc>
          <w:tcPr>
            <w:tcW w:w="2318" w:type="dxa"/>
            <w:tcBorders>
              <w:top w:val="single" w:color="auto" w:sz="4" w:space="0"/>
              <w:left w:val="nil"/>
              <w:bottom w:val="single" w:color="auto" w:sz="4" w:space="0"/>
              <w:right w:val="single" w:color="auto" w:sz="4" w:space="0"/>
            </w:tcBorders>
            <w:shd w:val="clear" w:color="auto" w:fill="auto"/>
            <w:vAlign w:val="center"/>
          </w:tcPr>
          <w:p w14:paraId="70C6EF6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制造业企业产品从概念设计、详细设计、工艺流程到生产制造的各个环节的数据全生命周期管理，在企业深化应用信息化工具2D、3D、CAPP和PLM后面临的部门之间协作以及企业产品数据全局共享的问题，实现企业设计数据、工艺数据与制造数据统一管理，并支持企业跨部门的数据处理和业务协作。</w:t>
            </w:r>
          </w:p>
        </w:tc>
        <w:tc>
          <w:tcPr>
            <w:tcW w:w="4387" w:type="dxa"/>
            <w:tcBorders>
              <w:top w:val="single" w:color="auto" w:sz="4" w:space="0"/>
              <w:left w:val="nil"/>
              <w:bottom w:val="single" w:color="auto" w:sz="4" w:space="0"/>
              <w:right w:val="single" w:color="auto" w:sz="4" w:space="0"/>
            </w:tcBorders>
            <w:shd w:val="clear" w:color="auto" w:fill="auto"/>
            <w:vAlign w:val="center"/>
          </w:tcPr>
          <w:p w14:paraId="1ADAA8CC">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CAXA PLM拥有自主的PLM平台，具备开放API，支持第三方应用开发。CAXA PLM具有用户数量多、技术先进、功能全面的突出优势，并具有设计工艺制造全流程贯通的鲜明特色。CAXA PLM可抽取和管理各类CAD/ECAD/CAPP数据，并与ERP/MES实现双向集成。可提供图文档管理EDM、产品数据管理PDM、工艺数据管理CAPP、产品全生命周期管理PLM产品及方案，并支撑云端PLM应用场景。CAXA PLM重点解决企业跨部门协同、区域协同以及企业产品数据全局共享的应用需求，实现企业数据流程和业务流程的全面集成贯通应用。</w:t>
            </w:r>
          </w:p>
        </w:tc>
        <w:tc>
          <w:tcPr>
            <w:tcW w:w="1745" w:type="dxa"/>
            <w:tcBorders>
              <w:top w:val="single" w:color="auto" w:sz="4" w:space="0"/>
              <w:left w:val="nil"/>
              <w:bottom w:val="single" w:color="auto" w:sz="4" w:space="0"/>
              <w:right w:val="single" w:color="auto" w:sz="4" w:space="0"/>
            </w:tcBorders>
            <w:shd w:val="clear" w:color="auto" w:fill="auto"/>
            <w:vAlign w:val="center"/>
          </w:tcPr>
          <w:p w14:paraId="518A4917">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1、产品平均转型价格：20万元-200万元/套，实施周期及人员培训：实施培训30-150天，备注：根据企业规模和需求来匹配产品功能模块再进行产品方案定价。</w:t>
            </w:r>
          </w:p>
          <w:p w14:paraId="4122CCED">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2、服务平均转型价格：6万元-30万元/项目，实施周期及人员培训：实施培训30-150天，备注：根据产品模块和实施培训人天进行服务方案定价。</w:t>
            </w:r>
          </w:p>
        </w:tc>
        <w:tc>
          <w:tcPr>
            <w:tcW w:w="3641" w:type="dxa"/>
            <w:tcBorders>
              <w:top w:val="single" w:color="auto" w:sz="4" w:space="0"/>
              <w:left w:val="nil"/>
              <w:bottom w:val="single" w:color="auto" w:sz="4" w:space="0"/>
              <w:right w:val="single" w:color="auto" w:sz="4" w:space="0"/>
            </w:tcBorders>
            <w:shd w:val="clear" w:color="auto" w:fill="auto"/>
            <w:vAlign w:val="center"/>
          </w:tcPr>
          <w:p w14:paraId="6F1C6434">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科达制造股份有限公司/南方风机股份有限公司/佛山市广意永雄机械有限公司/广东吉康环境系统科技有限公司/广东精美医疗科技有限公司/广东鸿钢智能装备有限公司/佛山市云雀振动器有限公司/广东赛因迪科技股份有限公司</w:t>
            </w:r>
          </w:p>
        </w:tc>
      </w:tr>
      <w:tr w14:paraId="5B1DFF3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DD96668">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75793C4">
            <w:pPr>
              <w:widowControl/>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CAXA DNC设备物联</w:t>
            </w:r>
          </w:p>
        </w:tc>
        <w:tc>
          <w:tcPr>
            <w:tcW w:w="2318" w:type="dxa"/>
            <w:tcBorders>
              <w:top w:val="single" w:color="auto" w:sz="4" w:space="0"/>
              <w:left w:val="nil"/>
              <w:bottom w:val="single" w:color="auto" w:sz="4" w:space="0"/>
              <w:right w:val="single" w:color="auto" w:sz="4" w:space="0"/>
            </w:tcBorders>
            <w:shd w:val="clear" w:color="auto" w:fill="auto"/>
            <w:vAlign w:val="center"/>
          </w:tcPr>
          <w:p w14:paraId="4E6A358B">
            <w:pPr>
              <w:widowControl/>
              <w:ind w:right="-154" w:rightChars="-55"/>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CAXA DNC设备物联系统，是北京数码大方科技股份有限公司基于多年智能制造领域研发及项目实施经验，在1000余家航空航天、装备制造等行业成功应用案例的基础上，为中国制造企业量身打造的设备智能化互联互通系统。CAXA DNC设备物联系统不仅包含机床通信、NC代码管理、DNC机床联网、MDC机床监控与数据采集、数据统计分析决策支持系统等，也提供对AGV、智能物流、检测设备联网、自动化生产线等系统的数据采集功能。承担着底层设备之间的网络通讯与数据自动采集的功能，是企业实现智能制造的核心，是智能工厂/数字化车间的前提和基础，是MES系统与数字化设备之间信息沟通的桥梁。</w:t>
            </w:r>
          </w:p>
        </w:tc>
        <w:tc>
          <w:tcPr>
            <w:tcW w:w="4387" w:type="dxa"/>
            <w:tcBorders>
              <w:top w:val="single" w:color="auto" w:sz="4" w:space="0"/>
              <w:left w:val="nil"/>
              <w:bottom w:val="single" w:color="auto" w:sz="4" w:space="0"/>
              <w:right w:val="single" w:color="auto" w:sz="4" w:space="0"/>
            </w:tcBorders>
            <w:shd w:val="clear" w:color="auto" w:fill="auto"/>
            <w:vAlign w:val="center"/>
          </w:tcPr>
          <w:p w14:paraId="07864712">
            <w:pPr>
              <w:widowControl/>
              <w:jc w:val="left"/>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CAXA DNC设备物联全面支持新一代的数控系统，如SIEMENS828D/840Dsl、三菱系统网卡通讯采集、马扎克Smooth系列、HAAS系统串口采集，以及凯恩帝、华中等国产数控系统，支持各种基于PLC/HMI控制的工业自动化设备，全面实现设备与设备、设备与人、传感器和智能仪表之间的互联互通，为工业物联网应用提供了数据采集以及存储、管理的平台。系统一方面接收来自MES系统的计划指令，并将生产指令、数控程序等信息传递给车间现场和设备;另一方面，将实时采集到的设备及生产信息，经过分析、计算后反馈给MES等系统，作为科学决策的依据。CAXA DNC设备物联是MES制造过程管理的</w:t>
            </w:r>
            <w:r>
              <w:rPr>
                <w:rFonts w:hint="eastAsia" w:ascii="仿宋" w:hAnsi="仿宋" w:cs="仿宋"/>
                <w:color w:val="auto"/>
                <w:kern w:val="0"/>
                <w:sz w:val="24"/>
                <w:szCs w:val="24"/>
                <w:lang w:val="en-US" w:eastAsia="zh-CN" w:bidi="ar"/>
              </w:rPr>
              <w:t>部分</w:t>
            </w:r>
            <w:r>
              <w:rPr>
                <w:rFonts w:hint="eastAsia" w:ascii="仿宋" w:hAnsi="仿宋" w:cs="仿宋"/>
                <w:color w:val="auto"/>
                <w:kern w:val="0"/>
                <w:sz w:val="24"/>
                <w:szCs w:val="24"/>
                <w:lang w:bidi="ar"/>
              </w:rPr>
              <w:t>基础</w:t>
            </w:r>
            <w:r>
              <w:rPr>
                <w:rFonts w:hint="eastAsia" w:ascii="仿宋" w:hAnsi="仿宋" w:cs="仿宋"/>
                <w:color w:val="auto"/>
                <w:kern w:val="0"/>
                <w:sz w:val="24"/>
                <w:szCs w:val="24"/>
                <w:lang w:val="en-US" w:eastAsia="zh-CN" w:bidi="ar"/>
              </w:rPr>
              <w:t>数据来源</w:t>
            </w:r>
            <w:r>
              <w:rPr>
                <w:rFonts w:hint="eastAsia" w:ascii="仿宋" w:hAnsi="仿宋" w:cs="仿宋"/>
                <w:color w:val="auto"/>
                <w:kern w:val="0"/>
                <w:sz w:val="24"/>
                <w:szCs w:val="24"/>
                <w:lang w:bidi="ar"/>
              </w:rPr>
              <w:t>。</w:t>
            </w:r>
          </w:p>
        </w:tc>
        <w:tc>
          <w:tcPr>
            <w:tcW w:w="1745" w:type="dxa"/>
            <w:tcBorders>
              <w:top w:val="single" w:color="auto" w:sz="4" w:space="0"/>
              <w:left w:val="nil"/>
              <w:bottom w:val="single" w:color="auto" w:sz="4" w:space="0"/>
              <w:right w:val="single" w:color="auto" w:sz="4" w:space="0"/>
            </w:tcBorders>
            <w:shd w:val="clear" w:color="auto" w:fill="auto"/>
            <w:vAlign w:val="center"/>
          </w:tcPr>
          <w:p w14:paraId="066F27FF">
            <w:pPr>
              <w:widowControl/>
              <w:ind w:right="-171" w:rightChars="-61"/>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1、产品平均转型价格：</w:t>
            </w:r>
            <w:r>
              <w:rPr>
                <w:rFonts w:hint="eastAsia" w:ascii="仿宋" w:hAnsi="仿宋" w:cs="仿宋"/>
                <w:color w:val="auto"/>
                <w:kern w:val="0"/>
                <w:sz w:val="24"/>
                <w:szCs w:val="24"/>
                <w:lang w:val="en-US" w:eastAsia="zh-CN" w:bidi="ar"/>
              </w:rPr>
              <w:t>5</w:t>
            </w:r>
            <w:r>
              <w:rPr>
                <w:rFonts w:hint="eastAsia" w:ascii="仿宋" w:hAnsi="仿宋" w:cs="仿宋"/>
                <w:color w:val="auto"/>
                <w:kern w:val="0"/>
                <w:sz w:val="24"/>
                <w:szCs w:val="24"/>
                <w:lang w:bidi="ar"/>
              </w:rPr>
              <w:t>万元-</w:t>
            </w:r>
            <w:r>
              <w:rPr>
                <w:rFonts w:hint="eastAsia" w:ascii="仿宋" w:hAnsi="仿宋" w:cs="仿宋"/>
                <w:color w:val="auto"/>
                <w:kern w:val="0"/>
                <w:sz w:val="24"/>
                <w:szCs w:val="24"/>
                <w:lang w:val="en-US" w:eastAsia="zh-CN" w:bidi="ar"/>
              </w:rPr>
              <w:t>5</w:t>
            </w:r>
            <w:r>
              <w:rPr>
                <w:rFonts w:hint="eastAsia" w:ascii="仿宋" w:hAnsi="仿宋" w:cs="仿宋"/>
                <w:color w:val="auto"/>
                <w:kern w:val="0"/>
                <w:sz w:val="24"/>
                <w:szCs w:val="24"/>
                <w:lang w:bidi="ar"/>
              </w:rPr>
              <w:t>0万元/套</w:t>
            </w:r>
            <w:r>
              <w:rPr>
                <w:rFonts w:hint="eastAsia" w:ascii="仿宋" w:hAnsi="仿宋" w:cs="仿宋"/>
                <w:color w:val="auto"/>
                <w:kern w:val="0"/>
                <w:sz w:val="24"/>
                <w:szCs w:val="24"/>
                <w:lang w:eastAsia="zh-CN" w:bidi="ar"/>
              </w:rPr>
              <w:t>。</w:t>
            </w:r>
            <w:r>
              <w:rPr>
                <w:rFonts w:hint="eastAsia" w:ascii="仿宋" w:hAnsi="仿宋" w:cs="仿宋"/>
                <w:color w:val="auto"/>
                <w:kern w:val="0"/>
                <w:sz w:val="24"/>
                <w:szCs w:val="24"/>
                <w:lang w:bidi="ar"/>
              </w:rPr>
              <w:t>备注：根据企业设备数量及采集内容和需求来匹配产品功能模块再进行产品方案定价。</w:t>
            </w:r>
          </w:p>
          <w:p w14:paraId="7E5D71DC">
            <w:pPr>
              <w:widowControl/>
              <w:ind w:right="-171" w:rightChars="-61"/>
              <w:jc w:val="center"/>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2、服务平均转型价格：</w:t>
            </w:r>
            <w:r>
              <w:rPr>
                <w:rFonts w:hint="eastAsia" w:ascii="仿宋" w:hAnsi="仿宋" w:cs="仿宋"/>
                <w:color w:val="auto"/>
                <w:kern w:val="0"/>
                <w:sz w:val="24"/>
                <w:szCs w:val="24"/>
                <w:lang w:val="en-US" w:eastAsia="zh-CN" w:bidi="ar"/>
              </w:rPr>
              <w:t>3</w:t>
            </w:r>
            <w:r>
              <w:rPr>
                <w:rFonts w:hint="eastAsia" w:ascii="仿宋" w:hAnsi="仿宋" w:cs="仿宋"/>
                <w:color w:val="auto"/>
                <w:kern w:val="0"/>
                <w:sz w:val="24"/>
                <w:szCs w:val="24"/>
                <w:lang w:bidi="ar"/>
              </w:rPr>
              <w:t>万元-30万元/项目</w:t>
            </w:r>
            <w:r>
              <w:rPr>
                <w:rFonts w:hint="eastAsia" w:ascii="仿宋" w:hAnsi="仿宋" w:cs="仿宋"/>
                <w:color w:val="auto"/>
                <w:kern w:val="0"/>
                <w:sz w:val="24"/>
                <w:szCs w:val="24"/>
                <w:lang w:eastAsia="zh-CN" w:bidi="ar"/>
              </w:rPr>
              <w:t>。</w:t>
            </w:r>
            <w:r>
              <w:rPr>
                <w:rFonts w:hint="eastAsia" w:ascii="仿宋" w:hAnsi="仿宋" w:cs="仿宋"/>
                <w:color w:val="auto"/>
                <w:kern w:val="0"/>
                <w:sz w:val="24"/>
                <w:szCs w:val="24"/>
                <w:lang w:bidi="ar"/>
              </w:rPr>
              <w:t>备注：根据产品模块和实施培训人天进行服务方案定价。备注：根据设备数量、产品模块和实施培训人天进行服务方案定价。</w:t>
            </w:r>
          </w:p>
        </w:tc>
        <w:tc>
          <w:tcPr>
            <w:tcW w:w="3641" w:type="dxa"/>
            <w:tcBorders>
              <w:top w:val="single" w:color="auto" w:sz="4" w:space="0"/>
              <w:left w:val="nil"/>
              <w:bottom w:val="single" w:color="auto" w:sz="4" w:space="0"/>
              <w:right w:val="single" w:color="auto" w:sz="4" w:space="0"/>
            </w:tcBorders>
            <w:shd w:val="clear" w:color="auto" w:fill="auto"/>
            <w:vAlign w:val="center"/>
          </w:tcPr>
          <w:p w14:paraId="6F80B00A">
            <w:pPr>
              <w:pStyle w:val="2"/>
              <w:jc w:val="center"/>
              <w:rPr>
                <w:rFonts w:hint="eastAsia" w:eastAsia="宋体"/>
                <w:lang w:eastAsia="zh-CN"/>
              </w:rPr>
            </w:pPr>
            <w:r>
              <w:rPr>
                <w:rFonts w:hint="eastAsia" w:ascii="仿宋" w:hAnsi="仿宋" w:eastAsia="仿宋" w:cs="仿宋"/>
                <w:color w:val="auto"/>
                <w:kern w:val="0"/>
                <w:sz w:val="24"/>
                <w:szCs w:val="24"/>
                <w:lang w:val="en-US" w:eastAsia="zh-CN" w:bidi="ar"/>
              </w:rPr>
              <w:t>新增</w:t>
            </w:r>
          </w:p>
        </w:tc>
      </w:tr>
    </w:tbl>
    <w:p w14:paraId="1FD60B41">
      <w:pPr>
        <w:pStyle w:val="2"/>
      </w:pPr>
    </w:p>
    <w:p w14:paraId="7F6F729F">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718D4D52">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七</w:t>
      </w:r>
      <w:r>
        <w:rPr>
          <w:rFonts w:hint="eastAsia" w:ascii="仿宋_GB2312" w:hAnsi="仿宋_GB2312" w:eastAsia="仿宋_GB2312" w:cs="仿宋_GB2312"/>
          <w:bCs/>
          <w:sz w:val="32"/>
          <w:szCs w:val="32"/>
        </w:rPr>
        <w:t>）联合体成员：北京机械工业自动化研究所有限公司/广东腾一科技有限公司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44"/>
      </w:tblGrid>
      <w:tr w14:paraId="20CFA8A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4DC43E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21255A7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10C82D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480526E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08B19AB3">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44" w:type="dxa"/>
            <w:tcBorders>
              <w:top w:val="single" w:color="auto" w:sz="4" w:space="0"/>
              <w:left w:val="nil"/>
              <w:bottom w:val="single" w:color="auto" w:sz="4" w:space="0"/>
              <w:right w:val="single" w:color="auto" w:sz="4" w:space="0"/>
            </w:tcBorders>
            <w:shd w:val="clear" w:color="auto" w:fill="auto"/>
            <w:vAlign w:val="center"/>
          </w:tcPr>
          <w:p w14:paraId="20887C6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621C80C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865633">
            <w:pPr>
              <w:widowControl/>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1A5D792">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工器具智能管理平台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24BA4E1">
            <w:pPr>
              <w:widowControl/>
              <w:ind w:right="-154" w:rightChars="-55"/>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物料资产精细化管理、工器具数字化管理、无人化自动取还、库存统计、盘点管理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B00FEFD">
            <w:pPr>
              <w:widowControl/>
              <w:jc w:val="left"/>
              <w:textAlignment w:val="center"/>
              <w:rPr>
                <w:rFonts w:hint="eastAsia" w:ascii="仿宋" w:hAnsi="仿宋" w:cs="仿宋"/>
                <w:color w:val="auto"/>
                <w:kern w:val="0"/>
                <w:sz w:val="24"/>
                <w:szCs w:val="24"/>
                <w:lang w:bidi="ar"/>
              </w:rPr>
            </w:pPr>
            <w:r>
              <w:rPr>
                <w:rFonts w:hint="eastAsia" w:ascii="仿宋" w:hAnsi="仿宋" w:cs="仿宋"/>
                <w:color w:val="auto"/>
                <w:kern w:val="0"/>
                <w:sz w:val="24"/>
                <w:szCs w:val="24"/>
                <w:lang w:bidi="ar"/>
              </w:rPr>
              <w:t>通过工器具智能管理平台对线边库，仓库进行管理，可以对接MES接收工单，按单取料，对贵重料、刀具、易损件领用进行有效管理，绑定领用人员和操作记录，缺料或低于预警值可报警，提醒人员进行补料工作。</w:t>
            </w:r>
          </w:p>
          <w:p w14:paraId="66F1B0F1">
            <w:pPr>
              <w:pStyle w:val="2"/>
              <w:rPr>
                <w:rFonts w:hint="eastAsia"/>
                <w:color w:val="auto"/>
              </w:rPr>
            </w:pPr>
            <w:r>
              <w:rPr>
                <w:rFonts w:hint="eastAsia" w:ascii="仿宋" w:hAnsi="仿宋" w:eastAsia="仿宋" w:cs="仿宋"/>
                <w:color w:val="auto"/>
                <w:kern w:val="0"/>
                <w:sz w:val="24"/>
                <w:szCs w:val="24"/>
                <w:lang w:val="en-US" w:eastAsia="zh-CN" w:bidi="ar"/>
              </w:rPr>
              <w:t>软件分为设备端和PC端，设备端主要用于补货、取货、归还、盘点物料、统计以及基础配置等功能，PC端主要为管理人员使用，包括设备实时监控、操作记录查询（取货单记录、还货单记录、回收仓盘点单、取货仓盘点单、补货单）、报警查询、库存统计查询、用户使用情况记录、物料信息管理、用户管理（系统用户管理、角色权限分配、组织架构）等功能。</w:t>
            </w:r>
          </w:p>
        </w:tc>
        <w:tc>
          <w:tcPr>
            <w:tcW w:w="1551" w:type="dxa"/>
            <w:tcBorders>
              <w:top w:val="single" w:color="auto" w:sz="4" w:space="0"/>
              <w:left w:val="nil"/>
              <w:bottom w:val="single" w:color="auto" w:sz="4" w:space="0"/>
              <w:right w:val="single" w:color="auto" w:sz="4" w:space="0"/>
            </w:tcBorders>
            <w:shd w:val="clear" w:color="auto" w:fill="auto"/>
            <w:vAlign w:val="center"/>
          </w:tcPr>
          <w:p w14:paraId="0043130B">
            <w:pPr>
              <w:widowControl/>
              <w:ind w:right="-171" w:rightChars="-61"/>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15万元-30万元</w:t>
            </w:r>
          </w:p>
        </w:tc>
        <w:tc>
          <w:tcPr>
            <w:tcW w:w="3844" w:type="dxa"/>
            <w:tcBorders>
              <w:top w:val="single" w:color="auto" w:sz="4" w:space="0"/>
              <w:left w:val="nil"/>
              <w:bottom w:val="single" w:color="auto" w:sz="4" w:space="0"/>
              <w:right w:val="single" w:color="auto" w:sz="4" w:space="0"/>
            </w:tcBorders>
            <w:shd w:val="clear" w:color="auto" w:fill="auto"/>
            <w:vAlign w:val="center"/>
          </w:tcPr>
          <w:p w14:paraId="6605EEDE">
            <w:pPr>
              <w:widowControl/>
              <w:jc w:val="left"/>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修订</w:t>
            </w:r>
          </w:p>
        </w:tc>
      </w:tr>
    </w:tbl>
    <w:p w14:paraId="7A858A3D">
      <w:r>
        <w:br w:type="page"/>
      </w:r>
    </w:p>
    <w:p w14:paraId="70154396">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八</w:t>
      </w:r>
      <w:r>
        <w:rPr>
          <w:rFonts w:hint="eastAsia" w:ascii="仿宋_GB2312" w:hAnsi="仿宋_GB2312" w:eastAsia="仿宋_GB2312" w:cs="仿宋_GB2312"/>
          <w:bCs/>
          <w:sz w:val="32"/>
          <w:szCs w:val="32"/>
        </w:rPr>
        <w:t>）联合体成员：用友网络科技股份有限公司佛山分公司/广东腾一科技有限公司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80"/>
      </w:tblGrid>
      <w:tr w14:paraId="1B87D61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ACED46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BB6E6C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2BF5FA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2C4F53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9000244">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80" w:type="dxa"/>
            <w:tcBorders>
              <w:top w:val="single" w:color="auto" w:sz="4" w:space="0"/>
              <w:left w:val="nil"/>
              <w:bottom w:val="single" w:color="auto" w:sz="4" w:space="0"/>
              <w:right w:val="single" w:color="auto" w:sz="4" w:space="0"/>
            </w:tcBorders>
            <w:shd w:val="clear" w:color="auto" w:fill="auto"/>
            <w:vAlign w:val="center"/>
          </w:tcPr>
          <w:p w14:paraId="5063C8E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42C22A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52C7CBB">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6B9E60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U9 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34B9869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用友U9 cloud提供财务管理、供应链、生产制造、项目管理、HR、营销、资产管理、数据分析、协同办公及移动应用，助力制造企业数字化转型。</w:t>
            </w:r>
          </w:p>
        </w:tc>
        <w:tc>
          <w:tcPr>
            <w:tcW w:w="4387" w:type="dxa"/>
            <w:tcBorders>
              <w:top w:val="single" w:color="auto" w:sz="4" w:space="0"/>
              <w:left w:val="nil"/>
              <w:bottom w:val="single" w:color="auto" w:sz="4" w:space="0"/>
              <w:right w:val="single" w:color="auto" w:sz="4" w:space="0"/>
            </w:tcBorders>
            <w:shd w:val="clear" w:color="auto" w:fill="auto"/>
            <w:vAlign w:val="center"/>
          </w:tcPr>
          <w:p w14:paraId="4C6BFFC1">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用友U9 cloud聚焦制造企业十大核心业务场景——网络化协同、智能化生产、精细化成本、一体化应用、个性化定制、项目化制造、国际化经营、层级化考核、服务化转型和数智化分析，助推制造企业数智化转型，服务企业商业创新！</w:t>
            </w:r>
          </w:p>
        </w:tc>
        <w:tc>
          <w:tcPr>
            <w:tcW w:w="1551" w:type="dxa"/>
            <w:tcBorders>
              <w:top w:val="single" w:color="auto" w:sz="4" w:space="0"/>
              <w:left w:val="nil"/>
              <w:bottom w:val="single" w:color="auto" w:sz="4" w:space="0"/>
              <w:right w:val="single" w:color="auto" w:sz="4" w:space="0"/>
            </w:tcBorders>
            <w:shd w:val="clear" w:color="auto" w:fill="auto"/>
            <w:vAlign w:val="center"/>
          </w:tcPr>
          <w:p w14:paraId="663F66DA">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50万元-300万元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2959ADEF">
            <w:pPr>
              <w:widowControl/>
              <w:ind w:right="-154" w:rightChars="-55"/>
              <w:jc w:val="center"/>
              <w:textAlignment w:val="center"/>
              <w:rPr>
                <w:rFonts w:hint="eastAsia" w:ascii="仿宋_GB2312" w:hAnsi="仿宋_GB2312" w:eastAsia="仿宋_GB2312" w:cs="仿宋_GB2312"/>
                <w:kern w:val="0"/>
                <w:sz w:val="24"/>
                <w:szCs w:val="24"/>
              </w:rPr>
            </w:pPr>
          </w:p>
        </w:tc>
      </w:tr>
      <w:tr w14:paraId="16A264A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C3B9B9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5CBFD9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YonSuite</w:t>
            </w:r>
          </w:p>
        </w:tc>
        <w:tc>
          <w:tcPr>
            <w:tcW w:w="2318" w:type="dxa"/>
            <w:tcBorders>
              <w:top w:val="single" w:color="auto" w:sz="4" w:space="0"/>
              <w:left w:val="nil"/>
              <w:bottom w:val="single" w:color="auto" w:sz="4" w:space="0"/>
              <w:right w:val="single" w:color="auto" w:sz="4" w:space="0"/>
            </w:tcBorders>
            <w:shd w:val="clear" w:color="auto" w:fill="auto"/>
            <w:vAlign w:val="center"/>
          </w:tcPr>
          <w:p w14:paraId="2DCC639F">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用友YonSuite集成了财务管理、供应链、生产管理、HR、CRM、项目管理、数据分析及协同办公等功能，支持企业全面数字化运营。</w:t>
            </w:r>
          </w:p>
        </w:tc>
        <w:tc>
          <w:tcPr>
            <w:tcW w:w="4387" w:type="dxa"/>
            <w:tcBorders>
              <w:top w:val="single" w:color="auto" w:sz="4" w:space="0"/>
              <w:left w:val="nil"/>
              <w:bottom w:val="single" w:color="auto" w:sz="4" w:space="0"/>
              <w:right w:val="single" w:color="auto" w:sz="4" w:space="0"/>
            </w:tcBorders>
            <w:shd w:val="clear" w:color="auto" w:fill="auto"/>
            <w:vAlign w:val="center"/>
          </w:tcPr>
          <w:p w14:paraId="1516959E">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YonSuite是基于云原生架构，为成长型企业提供“营销、制造、采购、财务、人力、办公、平台”融合一体，支持企业全球化经营、社会化商业的云服务包。 YonSuite使能企业数字化、智能化发展，成就以客户为中心，数据驱动、实时运营，轻松管理的数智企业！</w:t>
            </w:r>
          </w:p>
        </w:tc>
        <w:tc>
          <w:tcPr>
            <w:tcW w:w="1551" w:type="dxa"/>
            <w:tcBorders>
              <w:top w:val="single" w:color="auto" w:sz="4" w:space="0"/>
              <w:left w:val="nil"/>
              <w:bottom w:val="single" w:color="auto" w:sz="4" w:space="0"/>
              <w:right w:val="single" w:color="auto" w:sz="4" w:space="0"/>
            </w:tcBorders>
            <w:shd w:val="clear" w:color="auto" w:fill="auto"/>
            <w:vAlign w:val="center"/>
          </w:tcPr>
          <w:p w14:paraId="1E76937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5万元-100万元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4604C1A8">
            <w:pPr>
              <w:widowControl/>
              <w:ind w:right="-154" w:rightChars="-55"/>
              <w:jc w:val="center"/>
              <w:textAlignment w:val="center"/>
              <w:rPr>
                <w:rFonts w:hint="eastAsia" w:ascii="仿宋_GB2312" w:hAnsi="仿宋_GB2312" w:eastAsia="仿宋_GB2312" w:cs="仿宋_GB2312"/>
                <w:kern w:val="0"/>
                <w:sz w:val="24"/>
                <w:szCs w:val="24"/>
              </w:rPr>
            </w:pPr>
          </w:p>
        </w:tc>
      </w:tr>
      <w:tr w14:paraId="5FABE13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EFB2A4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4921C65">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U8 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64581B7E">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用友U8cloud涵盖财务管理、供应链、生产制造、项目管理、人力资源、营销创新、智能财务、数据分析及协同办公，支持企业全面数字化管理。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23239195">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聚焦高速小集团与成长型集团，提供企业级云ERP整体解决方案，安全可信、合规可靠，全面支持多组织业务协同、 营销创新、智能财务、智能报账、智能供应链、智能人力等，融合用友云服务实现企业互联网资源连接、共享、协同，赋能中国成长型企业高速发展、云化创新。</w:t>
            </w:r>
          </w:p>
        </w:tc>
        <w:tc>
          <w:tcPr>
            <w:tcW w:w="1551" w:type="dxa"/>
            <w:tcBorders>
              <w:top w:val="single" w:color="auto" w:sz="4" w:space="0"/>
              <w:left w:val="nil"/>
              <w:bottom w:val="single" w:color="auto" w:sz="4" w:space="0"/>
              <w:right w:val="single" w:color="auto" w:sz="4" w:space="0"/>
            </w:tcBorders>
            <w:shd w:val="clear" w:color="auto" w:fill="auto"/>
            <w:vAlign w:val="center"/>
          </w:tcPr>
          <w:p w14:paraId="2694CEAE">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20万元-100万元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35C9C2FA">
            <w:pPr>
              <w:widowControl/>
              <w:ind w:right="-154" w:rightChars="-55"/>
              <w:jc w:val="center"/>
              <w:textAlignment w:val="center"/>
              <w:rPr>
                <w:rFonts w:hint="eastAsia" w:ascii="仿宋_GB2312" w:hAnsi="仿宋_GB2312" w:eastAsia="仿宋_GB2312" w:cs="仿宋_GB2312"/>
                <w:kern w:val="0"/>
                <w:sz w:val="24"/>
                <w:szCs w:val="24"/>
              </w:rPr>
            </w:pPr>
          </w:p>
        </w:tc>
      </w:tr>
      <w:tr w14:paraId="640E492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FEAE2A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05EFF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数据应用服务</w:t>
            </w:r>
          </w:p>
        </w:tc>
        <w:tc>
          <w:tcPr>
            <w:tcW w:w="2318" w:type="dxa"/>
            <w:tcBorders>
              <w:top w:val="single" w:color="auto" w:sz="4" w:space="0"/>
              <w:left w:val="nil"/>
              <w:bottom w:val="single" w:color="auto" w:sz="4" w:space="0"/>
              <w:right w:val="single" w:color="auto" w:sz="4" w:space="0"/>
            </w:tcBorders>
            <w:shd w:val="clear" w:color="auto" w:fill="auto"/>
            <w:vAlign w:val="center"/>
          </w:tcPr>
          <w:p w14:paraId="6BD2D122">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用友数据应用服务提供数据集成、清洗、分析、报表生成及可视化展示等功能，支持企业决策制定和业务优化。</w:t>
            </w:r>
          </w:p>
        </w:tc>
        <w:tc>
          <w:tcPr>
            <w:tcW w:w="4387" w:type="dxa"/>
            <w:tcBorders>
              <w:top w:val="single" w:color="auto" w:sz="4" w:space="0"/>
              <w:left w:val="nil"/>
              <w:bottom w:val="single" w:color="auto" w:sz="4" w:space="0"/>
              <w:right w:val="single" w:color="auto" w:sz="4" w:space="0"/>
            </w:tcBorders>
            <w:shd w:val="clear" w:color="auto" w:fill="auto"/>
            <w:vAlign w:val="center"/>
          </w:tcPr>
          <w:p w14:paraId="11ADE45D">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一键连接ERP，即开即用，预置董事长、总经理、财务总监、营销总监、采购总监、生产总监、质量总监等大屏，涵盖关键经营管理指标模型，帮助企业快速洞察经营管理及信息化差距，持续用数据驱动业务优化与创新。</w:t>
            </w:r>
          </w:p>
        </w:tc>
        <w:tc>
          <w:tcPr>
            <w:tcW w:w="1551" w:type="dxa"/>
            <w:tcBorders>
              <w:top w:val="single" w:color="auto" w:sz="4" w:space="0"/>
              <w:left w:val="nil"/>
              <w:bottom w:val="single" w:color="auto" w:sz="4" w:space="0"/>
              <w:right w:val="single" w:color="auto" w:sz="4" w:space="0"/>
            </w:tcBorders>
            <w:shd w:val="clear" w:color="auto" w:fill="auto"/>
            <w:vAlign w:val="center"/>
          </w:tcPr>
          <w:p w14:paraId="571E838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5万元-20万元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48A981CD">
            <w:pPr>
              <w:widowControl/>
              <w:ind w:right="-154" w:rightChars="-55"/>
              <w:jc w:val="center"/>
              <w:textAlignment w:val="center"/>
              <w:rPr>
                <w:rFonts w:hint="eastAsia" w:ascii="仿宋_GB2312" w:hAnsi="仿宋_GB2312" w:eastAsia="仿宋_GB2312" w:cs="仿宋_GB2312"/>
                <w:kern w:val="0"/>
                <w:sz w:val="24"/>
                <w:szCs w:val="24"/>
              </w:rPr>
            </w:pPr>
          </w:p>
        </w:tc>
      </w:tr>
      <w:tr w14:paraId="0ECEF11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1999E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58326EB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PLM 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21CD371F">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用友PLM Cloud提供产品数据管理、设计协同、变更管理、文档控制及生命周期管理等功能，助力企业高效管理产品开发流程。</w:t>
            </w:r>
          </w:p>
        </w:tc>
        <w:tc>
          <w:tcPr>
            <w:tcW w:w="4387" w:type="dxa"/>
            <w:tcBorders>
              <w:top w:val="single" w:color="auto" w:sz="4" w:space="0"/>
              <w:left w:val="nil"/>
              <w:bottom w:val="single" w:color="auto" w:sz="4" w:space="0"/>
              <w:right w:val="single" w:color="auto" w:sz="4" w:space="0"/>
            </w:tcBorders>
            <w:shd w:val="clear" w:color="auto" w:fill="auto"/>
            <w:vAlign w:val="center"/>
          </w:tcPr>
          <w:p w14:paraId="58C86A4A">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PLM Cloud实现对物料自申请、创建、发布到变更、废止的全生命周期管理。对所有物料进行个性化分类管理和属性定义，对零部件实现ABC分析和分类归档整理。建立企业准确唯一的基础数据源，即建立统一的物料库，如标准件库、通用件库、专用件库、模块库、优选元器件库等。通过与ERP之间物料库的全属性互动，实现 合理的选用控制，帮助企业减少新零件数，降低物料不合理库存。</w:t>
            </w:r>
          </w:p>
        </w:tc>
        <w:tc>
          <w:tcPr>
            <w:tcW w:w="1551" w:type="dxa"/>
            <w:tcBorders>
              <w:top w:val="single" w:color="auto" w:sz="4" w:space="0"/>
              <w:left w:val="nil"/>
              <w:bottom w:val="single" w:color="auto" w:sz="4" w:space="0"/>
              <w:right w:val="single" w:color="auto" w:sz="4" w:space="0"/>
            </w:tcBorders>
            <w:shd w:val="clear" w:color="auto" w:fill="auto"/>
            <w:vAlign w:val="center"/>
          </w:tcPr>
          <w:p w14:paraId="1BA28468">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20万元-100万元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44BE565C">
            <w:pPr>
              <w:widowControl/>
              <w:ind w:right="-154" w:rightChars="-55"/>
              <w:jc w:val="center"/>
              <w:textAlignment w:val="center"/>
              <w:rPr>
                <w:rFonts w:hint="eastAsia" w:ascii="仿宋_GB2312" w:hAnsi="仿宋_GB2312" w:eastAsia="仿宋_GB2312" w:cs="仿宋_GB2312"/>
                <w:kern w:val="0"/>
                <w:sz w:val="24"/>
                <w:szCs w:val="24"/>
              </w:rPr>
            </w:pPr>
          </w:p>
        </w:tc>
      </w:tr>
      <w:tr w14:paraId="02D2615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402F1D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7003B43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YonBIP</w:t>
            </w:r>
          </w:p>
        </w:tc>
        <w:tc>
          <w:tcPr>
            <w:tcW w:w="2318" w:type="dxa"/>
            <w:tcBorders>
              <w:top w:val="single" w:color="auto" w:sz="4" w:space="0"/>
              <w:left w:val="nil"/>
              <w:bottom w:val="single" w:color="auto" w:sz="4" w:space="0"/>
              <w:right w:val="single" w:color="auto" w:sz="4" w:space="0"/>
            </w:tcBorders>
            <w:shd w:val="clear" w:color="auto" w:fill="auto"/>
            <w:vAlign w:val="center"/>
          </w:tcPr>
          <w:p w14:paraId="5924B0C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用友YonBIP提供财务管理、供应链管理、生产制造、人力资源、CRM、项目管理、数据分析及协同办公等功能，支持企业数字化转型。</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9E1782">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YonBIP基于最新的大数据、人工智能、云计算、物联网 &amp;5G、移动互联网、区块链等数智技术，采用云原生(微服务)、元数据驱动、中台化、数用分离等新一代技术架构，构建技术平台、数据中台、智能中台和业务中台，并聚焦营销、采购、制造、供应链、金融、财务、人力、协同等八大核心领域，全面支撑企业运</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营管理与产业价值链协同，赋能企业商业创新，推动社会商业进步。</w:t>
            </w:r>
          </w:p>
        </w:tc>
        <w:tc>
          <w:tcPr>
            <w:tcW w:w="1551" w:type="dxa"/>
            <w:tcBorders>
              <w:top w:val="single" w:color="auto" w:sz="4" w:space="0"/>
              <w:left w:val="nil"/>
              <w:bottom w:val="single" w:color="auto" w:sz="4" w:space="0"/>
              <w:right w:val="single" w:color="auto" w:sz="4" w:space="0"/>
            </w:tcBorders>
            <w:shd w:val="clear" w:color="auto" w:fill="auto"/>
            <w:vAlign w:val="center"/>
          </w:tcPr>
          <w:p w14:paraId="1EF8BAEF">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50万元-500万元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47281B18">
            <w:pPr>
              <w:widowControl/>
              <w:ind w:right="-154" w:rightChars="-55"/>
              <w:jc w:val="center"/>
              <w:textAlignment w:val="center"/>
              <w:rPr>
                <w:rFonts w:hint="eastAsia" w:ascii="仿宋_GB2312" w:hAnsi="仿宋_GB2312" w:eastAsia="仿宋_GB2312" w:cs="仿宋_GB2312"/>
                <w:kern w:val="0"/>
                <w:sz w:val="24"/>
                <w:szCs w:val="24"/>
              </w:rPr>
            </w:pPr>
          </w:p>
        </w:tc>
      </w:tr>
    </w:tbl>
    <w:p w14:paraId="5BECE014">
      <w:r>
        <w:br w:type="page"/>
      </w:r>
    </w:p>
    <w:p w14:paraId="295D562E">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九</w:t>
      </w:r>
      <w:r>
        <w:rPr>
          <w:rFonts w:hint="eastAsia" w:ascii="仿宋_GB2312" w:hAnsi="仿宋_GB2312" w:eastAsia="仿宋_GB2312" w:cs="仿宋_GB2312"/>
          <w:bCs/>
          <w:sz w:val="32"/>
          <w:szCs w:val="32"/>
        </w:rPr>
        <w:t>）联合体成员：佛山市浩创科技有限公司/广东腾一科技有限公司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907"/>
      </w:tblGrid>
      <w:tr w14:paraId="4D2D47E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CBFF74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B7F47F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CF7FC3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2094643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77D634D9">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907" w:type="dxa"/>
            <w:tcBorders>
              <w:top w:val="single" w:color="auto" w:sz="4" w:space="0"/>
              <w:left w:val="nil"/>
              <w:bottom w:val="single" w:color="auto" w:sz="4" w:space="0"/>
              <w:right w:val="single" w:color="auto" w:sz="4" w:space="0"/>
            </w:tcBorders>
            <w:shd w:val="clear" w:color="auto" w:fill="auto"/>
            <w:vAlign w:val="center"/>
          </w:tcPr>
          <w:p w14:paraId="6FB66DF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2283B92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D2CEE7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FC635B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金蝶云星空</w:t>
            </w:r>
          </w:p>
        </w:tc>
        <w:tc>
          <w:tcPr>
            <w:tcW w:w="2318" w:type="dxa"/>
            <w:tcBorders>
              <w:top w:val="single" w:color="auto" w:sz="4" w:space="0"/>
              <w:left w:val="nil"/>
              <w:bottom w:val="single" w:color="auto" w:sz="4" w:space="0"/>
              <w:right w:val="single" w:color="auto" w:sz="4" w:space="0"/>
            </w:tcBorders>
            <w:shd w:val="clear" w:color="auto" w:fill="auto"/>
            <w:vAlign w:val="center"/>
          </w:tcPr>
          <w:p w14:paraId="12083E9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符合佛山市制造业中小企业数字化智能化转型的方向，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4387" w:type="dxa"/>
            <w:tcBorders>
              <w:top w:val="single" w:color="auto" w:sz="4" w:space="0"/>
              <w:left w:val="nil"/>
              <w:bottom w:val="single" w:color="auto" w:sz="4" w:space="0"/>
              <w:right w:val="single" w:color="auto" w:sz="4" w:space="0"/>
            </w:tcBorders>
            <w:shd w:val="clear" w:color="auto" w:fill="auto"/>
            <w:vAlign w:val="center"/>
          </w:tcPr>
          <w:p w14:paraId="61562A2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从销售接单，到生产计划、物料采购、仓库进出料管理、质量管理、财务与成本核算，使企业管理更加灵活的面对供需变动。掌握准确及时、完整信息的基础上，做出正确决策，采取准确管理的措施。</w:t>
            </w:r>
          </w:p>
        </w:tc>
        <w:tc>
          <w:tcPr>
            <w:tcW w:w="1551" w:type="dxa"/>
            <w:tcBorders>
              <w:top w:val="single" w:color="auto" w:sz="4" w:space="0"/>
              <w:left w:val="nil"/>
              <w:bottom w:val="single" w:color="auto" w:sz="4" w:space="0"/>
              <w:right w:val="single" w:color="auto" w:sz="4" w:space="0"/>
            </w:tcBorders>
            <w:shd w:val="clear" w:color="auto" w:fill="auto"/>
            <w:vAlign w:val="center"/>
          </w:tcPr>
          <w:p w14:paraId="419B16D2">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-100万</w:t>
            </w:r>
            <w:r>
              <w:rPr>
                <w:rFonts w:hint="eastAsia" w:ascii="仿宋" w:hAnsi="仿宋" w:cs="仿宋"/>
                <w:color w:val="000000"/>
                <w:kern w:val="0"/>
                <w:sz w:val="24"/>
                <w:szCs w:val="24"/>
                <w:lang w:bidi="ar"/>
              </w:rPr>
              <w:t>元</w:t>
            </w:r>
          </w:p>
        </w:tc>
        <w:tc>
          <w:tcPr>
            <w:tcW w:w="3907" w:type="dxa"/>
            <w:tcBorders>
              <w:top w:val="single" w:color="auto" w:sz="4" w:space="0"/>
              <w:left w:val="nil"/>
              <w:bottom w:val="single" w:color="auto" w:sz="4" w:space="0"/>
              <w:right w:val="single" w:color="auto" w:sz="4" w:space="0"/>
            </w:tcBorders>
            <w:shd w:val="clear" w:color="auto" w:fill="auto"/>
            <w:vAlign w:val="center"/>
          </w:tcPr>
          <w:p w14:paraId="75C7402A">
            <w:pPr>
              <w:jc w:val="center"/>
              <w:rPr>
                <w:rFonts w:hint="eastAsia" w:ascii="仿宋_GB2312" w:hAnsi="仿宋_GB2312" w:eastAsia="仿宋_GB2312" w:cs="仿宋_GB2312"/>
                <w:kern w:val="0"/>
                <w:sz w:val="24"/>
                <w:szCs w:val="24"/>
              </w:rPr>
            </w:pPr>
          </w:p>
        </w:tc>
      </w:tr>
      <w:tr w14:paraId="300A94D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262B90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106018CF">
            <w:pPr>
              <w:widowControl/>
              <w:textAlignment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金蝶云星辰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1A46E9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符合佛山市制造业中小企业数字化智能化转型的方向，通过系统的整体流程，固化并优化企业管理，提升企业管理规范性；移动端随时随地使用，财务业务数据及时掌控，移动审批，方便快捷，提升效率；业务单据自动生成会计凭证，三大报表自动生成，数据更严谨。</w:t>
            </w:r>
          </w:p>
        </w:tc>
        <w:tc>
          <w:tcPr>
            <w:tcW w:w="4387" w:type="dxa"/>
            <w:tcBorders>
              <w:top w:val="single" w:color="auto" w:sz="4" w:space="0"/>
              <w:left w:val="nil"/>
              <w:bottom w:val="single" w:color="auto" w:sz="4" w:space="0"/>
              <w:right w:val="single" w:color="auto" w:sz="4" w:space="0"/>
            </w:tcBorders>
            <w:shd w:val="clear" w:color="auto" w:fill="auto"/>
            <w:vAlign w:val="center"/>
          </w:tcPr>
          <w:p w14:paraId="2C32F22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面向小微企业财务进销存管理环节，数字化水平低，业务财务管理难，数据混乱问题，实现财务进销存、零售、订货商城一体化管理。  </w:t>
            </w:r>
          </w:p>
          <w:p w14:paraId="398028C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聚焦小型企业在线经营和数字化管理，以“新财税、新营销、新平台”三大特性赋能企业，提供财务云、税务云、进销存云、订货商城等SaaS服务，支持小型企业拓客开源、智能管理、实时决策。</w:t>
            </w:r>
          </w:p>
        </w:tc>
        <w:tc>
          <w:tcPr>
            <w:tcW w:w="1551" w:type="dxa"/>
            <w:tcBorders>
              <w:top w:val="single" w:color="auto" w:sz="4" w:space="0"/>
              <w:left w:val="nil"/>
              <w:bottom w:val="single" w:color="auto" w:sz="4" w:space="0"/>
              <w:right w:val="single" w:color="auto" w:sz="4" w:space="0"/>
            </w:tcBorders>
            <w:shd w:val="clear" w:color="auto" w:fill="auto"/>
            <w:vAlign w:val="center"/>
          </w:tcPr>
          <w:p w14:paraId="04A8D14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-15万</w:t>
            </w:r>
            <w:r>
              <w:rPr>
                <w:rFonts w:hint="eastAsia" w:ascii="仿宋" w:hAnsi="仿宋" w:cs="仿宋"/>
                <w:color w:val="000000"/>
                <w:kern w:val="0"/>
                <w:sz w:val="24"/>
                <w:szCs w:val="24"/>
                <w:lang w:bidi="ar"/>
              </w:rPr>
              <w:t>元</w:t>
            </w:r>
          </w:p>
        </w:tc>
        <w:tc>
          <w:tcPr>
            <w:tcW w:w="3907" w:type="dxa"/>
            <w:tcBorders>
              <w:top w:val="single" w:color="auto" w:sz="4" w:space="0"/>
              <w:left w:val="nil"/>
              <w:bottom w:val="single" w:color="auto" w:sz="4" w:space="0"/>
              <w:right w:val="single" w:color="auto" w:sz="4" w:space="0"/>
            </w:tcBorders>
            <w:shd w:val="clear" w:color="auto" w:fill="auto"/>
            <w:vAlign w:val="center"/>
          </w:tcPr>
          <w:p w14:paraId="5B72589A">
            <w:pPr>
              <w:jc w:val="center"/>
              <w:rPr>
                <w:rFonts w:hint="eastAsia" w:ascii="仿宋_GB2312" w:hAnsi="仿宋_GB2312" w:eastAsia="仿宋_GB2312" w:cs="仿宋_GB2312"/>
                <w:kern w:val="0"/>
                <w:sz w:val="24"/>
                <w:szCs w:val="24"/>
              </w:rPr>
            </w:pPr>
          </w:p>
        </w:tc>
      </w:tr>
      <w:tr w14:paraId="06D9B78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0FBE4C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A8376E2">
            <w:pPr>
              <w:widowControl/>
              <w:textAlignment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金蝶</w:t>
            </w:r>
            <w:r>
              <w:rPr>
                <w:rFonts w:hint="eastAsia" w:ascii="仿宋_GB2312" w:hAnsi="仿宋_GB2312" w:eastAsia="仿宋_GB2312" w:cs="仿宋_GB2312"/>
                <w:kern w:val="0"/>
                <w:sz w:val="24"/>
                <w:szCs w:val="24"/>
              </w:rPr>
              <w:t>KIS云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74B3D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符合佛山市制造业中小企业数字化智能化转型的方向，为中小型制造、商贸流通企业提供全方位的云应用解决方案支持企业生产上云、供应链和财务上云，企业员工通过KIS云随时随地可以通过Pc端、手机端完成业务处理，实现企业上云办公，让企业管理更高效。</w:t>
            </w:r>
          </w:p>
        </w:tc>
        <w:tc>
          <w:tcPr>
            <w:tcW w:w="4387" w:type="dxa"/>
            <w:tcBorders>
              <w:top w:val="single" w:color="auto" w:sz="4" w:space="0"/>
              <w:left w:val="nil"/>
              <w:bottom w:val="single" w:color="auto" w:sz="4" w:space="0"/>
              <w:right w:val="single" w:color="auto" w:sz="4" w:space="0"/>
            </w:tcBorders>
            <w:shd w:val="clear" w:color="auto" w:fill="auto"/>
            <w:vAlign w:val="center"/>
          </w:tcPr>
          <w:p w14:paraId="3823FCC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1551" w:type="dxa"/>
            <w:tcBorders>
              <w:top w:val="single" w:color="auto" w:sz="4" w:space="0"/>
              <w:left w:val="nil"/>
              <w:bottom w:val="single" w:color="auto" w:sz="4" w:space="0"/>
              <w:right w:val="single" w:color="auto" w:sz="4" w:space="0"/>
            </w:tcBorders>
            <w:shd w:val="clear" w:color="auto" w:fill="auto"/>
            <w:vAlign w:val="center"/>
          </w:tcPr>
          <w:p w14:paraId="57A4FE3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-10万</w:t>
            </w:r>
            <w:r>
              <w:rPr>
                <w:rFonts w:hint="eastAsia" w:ascii="仿宋" w:hAnsi="仿宋" w:cs="仿宋"/>
                <w:color w:val="000000"/>
                <w:kern w:val="0"/>
                <w:sz w:val="24"/>
                <w:szCs w:val="24"/>
                <w:lang w:bidi="ar"/>
              </w:rPr>
              <w:t>元</w:t>
            </w:r>
          </w:p>
        </w:tc>
        <w:tc>
          <w:tcPr>
            <w:tcW w:w="3907" w:type="dxa"/>
            <w:tcBorders>
              <w:top w:val="single" w:color="auto" w:sz="4" w:space="0"/>
              <w:left w:val="nil"/>
              <w:bottom w:val="single" w:color="auto" w:sz="4" w:space="0"/>
              <w:right w:val="single" w:color="auto" w:sz="4" w:space="0"/>
            </w:tcBorders>
            <w:shd w:val="clear" w:color="auto" w:fill="auto"/>
            <w:vAlign w:val="center"/>
          </w:tcPr>
          <w:p w14:paraId="6FB945FD">
            <w:pPr>
              <w:jc w:val="center"/>
              <w:rPr>
                <w:rFonts w:hint="eastAsia" w:ascii="仿宋_GB2312" w:hAnsi="仿宋_GB2312" w:eastAsia="仿宋_GB2312" w:cs="仿宋_GB2312"/>
                <w:kern w:val="0"/>
                <w:sz w:val="24"/>
                <w:szCs w:val="24"/>
              </w:rPr>
            </w:pPr>
          </w:p>
        </w:tc>
      </w:tr>
    </w:tbl>
    <w:p w14:paraId="69628038">
      <w:r>
        <w:br w:type="page"/>
      </w:r>
    </w:p>
    <w:p w14:paraId="02DDDDCE">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（十）联合体成员：摩捷智行有限责任公司/广东腾一科技有限公司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53"/>
      </w:tblGrid>
      <w:tr w14:paraId="39CA99A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92EC2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37B20A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59FF71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4D6FA1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2644D178">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53" w:type="dxa"/>
            <w:tcBorders>
              <w:top w:val="single" w:color="auto" w:sz="4" w:space="0"/>
              <w:left w:val="nil"/>
              <w:bottom w:val="single" w:color="auto" w:sz="4" w:space="0"/>
              <w:right w:val="single" w:color="auto" w:sz="4" w:space="0"/>
            </w:tcBorders>
            <w:shd w:val="clear" w:color="auto" w:fill="auto"/>
            <w:vAlign w:val="center"/>
          </w:tcPr>
          <w:p w14:paraId="3924BA4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6D762E9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C76011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614FCF7">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产品自动化检查</w:t>
            </w:r>
          </w:p>
        </w:tc>
        <w:tc>
          <w:tcPr>
            <w:tcW w:w="2318" w:type="dxa"/>
            <w:tcBorders>
              <w:top w:val="single" w:color="auto" w:sz="4" w:space="0"/>
              <w:left w:val="nil"/>
              <w:bottom w:val="single" w:color="auto" w:sz="4" w:space="0"/>
              <w:right w:val="single" w:color="auto" w:sz="4" w:space="0"/>
            </w:tcBorders>
            <w:shd w:val="clear" w:color="auto" w:fill="auto"/>
            <w:vAlign w:val="center"/>
          </w:tcPr>
          <w:p w14:paraId="2E39644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视觉：基于先进的机器视觉技术及深度学习技术，可对每一处细节进行准确分析，可针对检测结果输出检测报告，便于管理人员分析留档。通过以上自动化检测应用，可提高对产品质量的控制能力，防止缺陷下流、提高检测效率、削减质检人员</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2.异响：通过音频和振动两路信号综合检测，提高检出率和准确率</w:t>
            </w:r>
          </w:p>
        </w:tc>
        <w:tc>
          <w:tcPr>
            <w:tcW w:w="4387" w:type="dxa"/>
            <w:tcBorders>
              <w:top w:val="single" w:color="auto" w:sz="4" w:space="0"/>
              <w:left w:val="nil"/>
              <w:bottom w:val="single" w:color="auto" w:sz="4" w:space="0"/>
              <w:right w:val="single" w:color="auto" w:sz="4" w:space="0"/>
            </w:tcBorders>
            <w:shd w:val="clear" w:color="auto" w:fill="auto"/>
            <w:vAlign w:val="center"/>
          </w:tcPr>
          <w:p w14:paraId="6AC7C0E4">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该解决方案可根据客户需求进行定制化方案开发，针对焊点、焊缝缺陷进行检测与分析，发现质量缺陷，并对缺陷数据进行分类归纳，向用户输出检测报告，检测方案以机器视觉及深度学习技术为基础。</w:t>
            </w:r>
          </w:p>
        </w:tc>
        <w:tc>
          <w:tcPr>
            <w:tcW w:w="1551" w:type="dxa"/>
            <w:tcBorders>
              <w:top w:val="single" w:color="auto" w:sz="4" w:space="0"/>
              <w:left w:val="nil"/>
              <w:bottom w:val="single" w:color="auto" w:sz="4" w:space="0"/>
              <w:right w:val="single" w:color="auto" w:sz="4" w:space="0"/>
            </w:tcBorders>
            <w:shd w:val="clear" w:color="auto" w:fill="auto"/>
            <w:vAlign w:val="center"/>
          </w:tcPr>
          <w:p w14:paraId="0C3FDC4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5万元-30万元</w:t>
            </w:r>
          </w:p>
        </w:tc>
        <w:tc>
          <w:tcPr>
            <w:tcW w:w="3853" w:type="dxa"/>
            <w:tcBorders>
              <w:top w:val="single" w:color="auto" w:sz="4" w:space="0"/>
              <w:left w:val="nil"/>
              <w:bottom w:val="single" w:color="auto" w:sz="4" w:space="0"/>
              <w:right w:val="single" w:color="auto" w:sz="4" w:space="0"/>
            </w:tcBorders>
            <w:shd w:val="clear" w:color="auto" w:fill="auto"/>
            <w:vAlign w:val="center"/>
          </w:tcPr>
          <w:p w14:paraId="08F21D35">
            <w:pPr>
              <w:widowControl/>
              <w:ind w:right="-154" w:rightChars="-55"/>
              <w:jc w:val="center"/>
              <w:textAlignment w:val="center"/>
              <w:rPr>
                <w:rFonts w:hint="eastAsia" w:ascii="仿宋_GB2312" w:hAnsi="仿宋_GB2312" w:eastAsia="仿宋_GB2312" w:cs="仿宋_GB2312"/>
                <w:kern w:val="0"/>
                <w:sz w:val="24"/>
                <w:szCs w:val="24"/>
              </w:rPr>
            </w:pPr>
          </w:p>
        </w:tc>
      </w:tr>
      <w:tr w14:paraId="77EEC20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9E64CF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3229D95">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设备数采及应用</w:t>
            </w:r>
          </w:p>
        </w:tc>
        <w:tc>
          <w:tcPr>
            <w:tcW w:w="2318" w:type="dxa"/>
            <w:tcBorders>
              <w:top w:val="single" w:color="auto" w:sz="4" w:space="0"/>
              <w:left w:val="nil"/>
              <w:bottom w:val="single" w:color="auto" w:sz="4" w:space="0"/>
              <w:right w:val="single" w:color="auto" w:sz="4" w:space="0"/>
            </w:tcBorders>
            <w:shd w:val="clear" w:color="auto" w:fill="auto"/>
            <w:vAlign w:val="center"/>
          </w:tcPr>
          <w:p w14:paraId="2204236A">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通过设备数采及应用开发，可实现工艺参数的高效管理，节约工时，实现过程变化点有效管控，可实现设备状态监控及预测性维修，降低停台时间，提高管理效率，节约设备管理成本。</w:t>
            </w:r>
          </w:p>
        </w:tc>
        <w:tc>
          <w:tcPr>
            <w:tcW w:w="4387" w:type="dxa"/>
            <w:tcBorders>
              <w:top w:val="single" w:color="auto" w:sz="4" w:space="0"/>
              <w:left w:val="nil"/>
              <w:bottom w:val="single" w:color="auto" w:sz="4" w:space="0"/>
              <w:right w:val="single" w:color="auto" w:sz="4" w:space="0"/>
            </w:tcBorders>
            <w:shd w:val="clear" w:color="auto" w:fill="auto"/>
            <w:vAlign w:val="center"/>
          </w:tcPr>
          <w:p w14:paraId="13CF5B86">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该解决方案可实现多类型设备的数据采集及存储；可基于工艺数据实现参数变化点智能管理，质量报错闭环管理，参数无纸化管理等；可根据具体需求进行定制化的开发。</w:t>
            </w:r>
          </w:p>
        </w:tc>
        <w:tc>
          <w:tcPr>
            <w:tcW w:w="1551" w:type="dxa"/>
            <w:tcBorders>
              <w:top w:val="single" w:color="auto" w:sz="4" w:space="0"/>
              <w:left w:val="nil"/>
              <w:bottom w:val="single" w:color="auto" w:sz="4" w:space="0"/>
              <w:right w:val="single" w:color="auto" w:sz="4" w:space="0"/>
            </w:tcBorders>
            <w:shd w:val="clear" w:color="auto" w:fill="auto"/>
            <w:vAlign w:val="center"/>
          </w:tcPr>
          <w:p w14:paraId="14F6D822">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5万元-30万元</w:t>
            </w:r>
          </w:p>
        </w:tc>
        <w:tc>
          <w:tcPr>
            <w:tcW w:w="3853" w:type="dxa"/>
            <w:tcBorders>
              <w:top w:val="single" w:color="auto" w:sz="4" w:space="0"/>
              <w:left w:val="nil"/>
              <w:bottom w:val="single" w:color="auto" w:sz="4" w:space="0"/>
              <w:right w:val="single" w:color="auto" w:sz="4" w:space="0"/>
            </w:tcBorders>
            <w:shd w:val="clear" w:color="auto" w:fill="auto"/>
            <w:vAlign w:val="center"/>
          </w:tcPr>
          <w:p w14:paraId="5CCE4985">
            <w:pPr>
              <w:widowControl/>
              <w:ind w:right="-154" w:rightChars="-55"/>
              <w:jc w:val="center"/>
              <w:textAlignment w:val="center"/>
              <w:rPr>
                <w:rFonts w:hint="eastAsia" w:ascii="仿宋_GB2312" w:hAnsi="仿宋_GB2312" w:eastAsia="仿宋_GB2312" w:cs="仿宋_GB2312"/>
                <w:kern w:val="0"/>
                <w:sz w:val="24"/>
                <w:szCs w:val="24"/>
              </w:rPr>
            </w:pPr>
          </w:p>
        </w:tc>
      </w:tr>
      <w:tr w14:paraId="4F6F061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D95FE3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E46CAC5">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问题管理系统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CDD96E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实现全领域、问题全周期的一站式管理系统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7BF3ADC7">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包含了问题收集汇总、问题分配以及问题解决，经验总结、驾驶舱以及会议管理等模块。</w:t>
            </w:r>
          </w:p>
        </w:tc>
        <w:tc>
          <w:tcPr>
            <w:tcW w:w="1551" w:type="dxa"/>
            <w:tcBorders>
              <w:top w:val="single" w:color="auto" w:sz="4" w:space="0"/>
              <w:left w:val="nil"/>
              <w:bottom w:val="single" w:color="auto" w:sz="4" w:space="0"/>
              <w:right w:val="single" w:color="auto" w:sz="4" w:space="0"/>
            </w:tcBorders>
            <w:shd w:val="clear" w:color="auto" w:fill="auto"/>
            <w:vAlign w:val="center"/>
          </w:tcPr>
          <w:p w14:paraId="4E5EA78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10万元-20万元</w:t>
            </w:r>
          </w:p>
        </w:tc>
        <w:tc>
          <w:tcPr>
            <w:tcW w:w="3853" w:type="dxa"/>
            <w:tcBorders>
              <w:top w:val="single" w:color="auto" w:sz="4" w:space="0"/>
              <w:left w:val="nil"/>
              <w:bottom w:val="single" w:color="auto" w:sz="4" w:space="0"/>
              <w:right w:val="single" w:color="auto" w:sz="4" w:space="0"/>
            </w:tcBorders>
            <w:shd w:val="clear" w:color="auto" w:fill="auto"/>
            <w:vAlign w:val="center"/>
          </w:tcPr>
          <w:p w14:paraId="204D9FD1">
            <w:pPr>
              <w:widowControl/>
              <w:ind w:right="-154" w:rightChars="-55"/>
              <w:jc w:val="center"/>
              <w:textAlignment w:val="center"/>
              <w:rPr>
                <w:rFonts w:hint="eastAsia" w:ascii="仿宋_GB2312" w:hAnsi="仿宋_GB2312" w:eastAsia="仿宋_GB2312" w:cs="仿宋_GB2312"/>
                <w:kern w:val="0"/>
                <w:sz w:val="24"/>
                <w:szCs w:val="24"/>
              </w:rPr>
            </w:pPr>
          </w:p>
        </w:tc>
      </w:tr>
      <w:tr w14:paraId="262134F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14A743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059D24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能源管理系统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E4B55A">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实现能源数据透明，降低能源费用</w:t>
            </w:r>
          </w:p>
        </w:tc>
        <w:tc>
          <w:tcPr>
            <w:tcW w:w="4387" w:type="dxa"/>
            <w:tcBorders>
              <w:top w:val="single" w:color="auto" w:sz="4" w:space="0"/>
              <w:left w:val="nil"/>
              <w:bottom w:val="single" w:color="auto" w:sz="4" w:space="0"/>
              <w:right w:val="single" w:color="auto" w:sz="4" w:space="0"/>
            </w:tcBorders>
            <w:shd w:val="clear" w:color="auto" w:fill="auto"/>
            <w:vAlign w:val="center"/>
          </w:tcPr>
          <w:p w14:paraId="010E0315">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对数据进行挖掘分析，制定能耗标准，训练用能模型，实时监控预警，对用能进行精细化管理。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1198F7C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10万元-15万元</w:t>
            </w:r>
          </w:p>
        </w:tc>
        <w:tc>
          <w:tcPr>
            <w:tcW w:w="3853" w:type="dxa"/>
            <w:tcBorders>
              <w:top w:val="single" w:color="auto" w:sz="4" w:space="0"/>
              <w:left w:val="nil"/>
              <w:bottom w:val="single" w:color="auto" w:sz="4" w:space="0"/>
              <w:right w:val="single" w:color="auto" w:sz="4" w:space="0"/>
            </w:tcBorders>
            <w:shd w:val="clear" w:color="auto" w:fill="auto"/>
            <w:vAlign w:val="center"/>
          </w:tcPr>
          <w:p w14:paraId="3465404B">
            <w:pPr>
              <w:widowControl/>
              <w:ind w:right="-154" w:rightChars="-55"/>
              <w:jc w:val="center"/>
              <w:textAlignment w:val="center"/>
              <w:rPr>
                <w:rFonts w:hint="eastAsia" w:ascii="仿宋_GB2312" w:hAnsi="仿宋_GB2312" w:eastAsia="仿宋_GB2312" w:cs="仿宋_GB2312"/>
                <w:kern w:val="0"/>
                <w:sz w:val="24"/>
                <w:szCs w:val="24"/>
              </w:rPr>
            </w:pPr>
          </w:p>
        </w:tc>
      </w:tr>
    </w:tbl>
    <w:p w14:paraId="62F97F98">
      <w:pPr>
        <w:pStyle w:val="2"/>
      </w:pPr>
    </w:p>
    <w:p w14:paraId="10AA6E69">
      <w:pPr>
        <w:rPr>
          <w:rFonts w:hint="eastAsia" w:ascii="仿宋_GB2312" w:hAnsi="仿宋_GB2312" w:eastAsia="仿宋_GB2312" w:cs="仿宋_GB2312"/>
          <w:bCs/>
          <w:sz w:val="32"/>
          <w:szCs w:val="32"/>
        </w:rPr>
      </w:pPr>
    </w:p>
    <w:p w14:paraId="13D315ED">
      <w:pPr>
        <w:pStyle w:val="2"/>
        <w:rPr>
          <w:rFonts w:hint="eastAsia" w:ascii="仿宋_GB2312" w:hAnsi="仿宋_GB2312" w:eastAsia="仿宋_GB2312" w:cs="仿宋_GB2312"/>
          <w:bCs/>
          <w:sz w:val="32"/>
          <w:szCs w:val="32"/>
        </w:rPr>
      </w:pPr>
    </w:p>
    <w:p w14:paraId="36D09C4C">
      <w:pPr>
        <w:pStyle w:val="2"/>
        <w:rPr>
          <w:rFonts w:hint="eastAsia" w:ascii="仿宋_GB2312" w:hAnsi="仿宋_GB2312" w:eastAsia="仿宋_GB2312" w:cs="仿宋_GB2312"/>
          <w:bCs/>
          <w:sz w:val="32"/>
          <w:szCs w:val="32"/>
        </w:rPr>
      </w:pPr>
    </w:p>
    <w:p w14:paraId="69E15D83">
      <w:pPr>
        <w:pStyle w:val="2"/>
        <w:rPr>
          <w:rFonts w:hint="eastAsia" w:ascii="仿宋_GB2312" w:hAnsi="仿宋_GB2312" w:eastAsia="仿宋_GB2312" w:cs="仿宋_GB2312"/>
          <w:bCs/>
          <w:sz w:val="32"/>
          <w:szCs w:val="32"/>
        </w:rPr>
      </w:pPr>
    </w:p>
    <w:p w14:paraId="6F8CC0FB">
      <w:pPr>
        <w:pStyle w:val="2"/>
        <w:rPr>
          <w:rFonts w:hint="eastAsia" w:ascii="仿宋_GB2312" w:hAnsi="仿宋_GB2312" w:eastAsia="仿宋_GB2312" w:cs="仿宋_GB2312"/>
          <w:bCs/>
          <w:sz w:val="32"/>
          <w:szCs w:val="32"/>
        </w:rPr>
      </w:pPr>
    </w:p>
    <w:p w14:paraId="745DA953">
      <w:pPr>
        <w:pStyle w:val="2"/>
        <w:rPr>
          <w:rFonts w:hint="eastAsia" w:ascii="仿宋_GB2312" w:hAnsi="仿宋_GB2312" w:eastAsia="仿宋_GB2312" w:cs="仿宋_GB2312"/>
          <w:bCs/>
          <w:sz w:val="32"/>
          <w:szCs w:val="32"/>
        </w:rPr>
      </w:pPr>
    </w:p>
    <w:p w14:paraId="513F4298">
      <w:pPr>
        <w:pStyle w:val="2"/>
        <w:rPr>
          <w:rFonts w:hint="eastAsia" w:ascii="仿宋_GB2312" w:hAnsi="仿宋_GB2312" w:eastAsia="仿宋_GB2312" w:cs="仿宋_GB2312"/>
          <w:bCs/>
          <w:sz w:val="32"/>
          <w:szCs w:val="32"/>
        </w:rPr>
      </w:pPr>
    </w:p>
    <w:p w14:paraId="42564E54">
      <w:pPr>
        <w:pStyle w:val="2"/>
        <w:rPr>
          <w:rFonts w:hint="eastAsia" w:ascii="仿宋_GB2312" w:hAnsi="仿宋_GB2312" w:eastAsia="仿宋_GB2312" w:cs="仿宋_GB2312"/>
          <w:bCs/>
          <w:sz w:val="32"/>
          <w:szCs w:val="32"/>
        </w:rPr>
      </w:pPr>
    </w:p>
    <w:p w14:paraId="7561F659">
      <w:pPr>
        <w:pStyle w:val="2"/>
        <w:rPr>
          <w:rFonts w:hint="eastAsia" w:ascii="仿宋_GB2312" w:hAnsi="仿宋_GB2312" w:eastAsia="仿宋_GB2312" w:cs="仿宋_GB2312"/>
          <w:bCs/>
          <w:sz w:val="32"/>
          <w:szCs w:val="32"/>
        </w:rPr>
      </w:pPr>
    </w:p>
    <w:p w14:paraId="3C71A987">
      <w:pPr>
        <w:spacing w:line="560" w:lineRule="exact"/>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十</w:t>
      </w:r>
      <w:r>
        <w:rPr>
          <w:rFonts w:hint="eastAsia" w:ascii="仿宋_GB2312" w:hAnsi="仿宋_GB2312" w:eastAsia="仿宋_GB2312" w:cs="仿宋_GB2312"/>
          <w:bCs/>
          <w:color w:val="auto"/>
          <w:sz w:val="32"/>
          <w:szCs w:val="32"/>
          <w:lang w:val="en-US" w:eastAsia="zh-CN"/>
        </w:rPr>
        <w:t>一</w:t>
      </w:r>
      <w:r>
        <w:rPr>
          <w:rFonts w:hint="eastAsia" w:ascii="仿宋_GB2312" w:hAnsi="仿宋_GB2312" w:eastAsia="仿宋_GB2312" w:cs="仿宋_GB2312"/>
          <w:bCs/>
          <w:color w:val="auto"/>
          <w:sz w:val="32"/>
          <w:szCs w:val="32"/>
        </w:rPr>
        <w:t>）联合体成员：佛山市行云管理软件有限公司/广东腾一科技有限公司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715"/>
        <w:gridCol w:w="1602"/>
        <w:gridCol w:w="2613"/>
        <w:gridCol w:w="4092"/>
        <w:gridCol w:w="2043"/>
        <w:gridCol w:w="3287"/>
      </w:tblGrid>
      <w:tr w14:paraId="0EF9F4ED">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75E89C1A">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602" w:type="dxa"/>
            <w:tcBorders>
              <w:top w:val="single" w:color="auto" w:sz="4" w:space="0"/>
              <w:left w:val="nil"/>
              <w:bottom w:val="single" w:color="auto" w:sz="4" w:space="0"/>
              <w:right w:val="single" w:color="auto" w:sz="4" w:space="0"/>
            </w:tcBorders>
            <w:vAlign w:val="center"/>
          </w:tcPr>
          <w:p w14:paraId="157B21C0">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613" w:type="dxa"/>
            <w:tcBorders>
              <w:top w:val="single" w:color="auto" w:sz="4" w:space="0"/>
              <w:left w:val="nil"/>
              <w:bottom w:val="single" w:color="auto" w:sz="4" w:space="0"/>
              <w:right w:val="single" w:color="auto" w:sz="4" w:space="0"/>
            </w:tcBorders>
            <w:vAlign w:val="center"/>
          </w:tcPr>
          <w:p w14:paraId="4727B041">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092" w:type="dxa"/>
            <w:tcBorders>
              <w:top w:val="single" w:color="auto" w:sz="4" w:space="0"/>
              <w:left w:val="nil"/>
              <w:bottom w:val="single" w:color="auto" w:sz="4" w:space="0"/>
              <w:right w:val="single" w:color="auto" w:sz="4" w:space="0"/>
            </w:tcBorders>
            <w:vAlign w:val="center"/>
          </w:tcPr>
          <w:p w14:paraId="1F47EA8A">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2043" w:type="dxa"/>
            <w:tcBorders>
              <w:top w:val="single" w:color="auto" w:sz="4" w:space="0"/>
              <w:left w:val="nil"/>
              <w:bottom w:val="single" w:color="auto" w:sz="4" w:space="0"/>
              <w:right w:val="single" w:color="auto" w:sz="4" w:space="0"/>
            </w:tcBorders>
            <w:vAlign w:val="center"/>
          </w:tcPr>
          <w:p w14:paraId="412DE555">
            <w:pPr>
              <w:widowControl/>
              <w:jc w:val="center"/>
              <w:rPr>
                <w:rFonts w:hint="eastAsia"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287" w:type="dxa"/>
            <w:tcBorders>
              <w:top w:val="single" w:color="auto" w:sz="4" w:space="0"/>
              <w:left w:val="nil"/>
              <w:bottom w:val="single" w:color="auto" w:sz="4" w:space="0"/>
              <w:right w:val="single" w:color="auto" w:sz="4" w:space="0"/>
            </w:tcBorders>
            <w:vAlign w:val="center"/>
          </w:tcPr>
          <w:p w14:paraId="6B880FA8">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7BC48FAF">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4E1DAB70">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1</w:t>
            </w:r>
          </w:p>
        </w:tc>
        <w:tc>
          <w:tcPr>
            <w:tcW w:w="1602" w:type="dxa"/>
            <w:tcBorders>
              <w:top w:val="single" w:color="auto" w:sz="4" w:space="0"/>
              <w:left w:val="nil"/>
              <w:bottom w:val="single" w:color="auto" w:sz="4" w:space="0"/>
              <w:right w:val="single" w:color="auto" w:sz="4" w:space="0"/>
            </w:tcBorders>
            <w:shd w:val="clear" w:color="auto" w:fill="auto"/>
            <w:vAlign w:val="center"/>
          </w:tcPr>
          <w:p w14:paraId="7030D149">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金蝶云星空</w:t>
            </w:r>
          </w:p>
        </w:tc>
        <w:tc>
          <w:tcPr>
            <w:tcW w:w="2613" w:type="dxa"/>
            <w:tcBorders>
              <w:top w:val="single" w:color="auto" w:sz="4" w:space="0"/>
              <w:left w:val="nil"/>
              <w:bottom w:val="single" w:color="auto" w:sz="4" w:space="0"/>
              <w:right w:val="single" w:color="auto" w:sz="4" w:space="0"/>
            </w:tcBorders>
            <w:shd w:val="clear" w:color="auto" w:fill="auto"/>
            <w:vAlign w:val="center"/>
          </w:tcPr>
          <w:p w14:paraId="00F7A10A">
            <w:pPr>
              <w:keepNext w:val="0"/>
              <w:keepLines w:val="0"/>
              <w:widowControl/>
              <w:suppressLineNumbers w:val="0"/>
              <w:jc w:val="both"/>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4092" w:type="dxa"/>
            <w:tcBorders>
              <w:top w:val="single" w:color="auto" w:sz="4" w:space="0"/>
              <w:left w:val="nil"/>
              <w:bottom w:val="single" w:color="auto" w:sz="4" w:space="0"/>
              <w:right w:val="single" w:color="auto" w:sz="4" w:space="0"/>
            </w:tcBorders>
            <w:shd w:val="clear" w:color="auto" w:fill="auto"/>
            <w:vAlign w:val="center"/>
          </w:tcPr>
          <w:p w14:paraId="49F12629">
            <w:pPr>
              <w:keepNext w:val="0"/>
              <w:keepLines w:val="0"/>
              <w:widowControl/>
              <w:suppressLineNumbers w:val="0"/>
              <w:jc w:val="both"/>
              <w:textAlignment w:val="center"/>
              <w:rPr>
                <w:rFonts w:hint="eastAsia" w:ascii="仿宋_GB2312" w:hAnsi="宋体" w:eastAsia="仿宋_GB2312" w:cs="仿宋_GB2312"/>
                <w:i w:val="0"/>
                <w:iCs w:val="0"/>
                <w:color w:val="auto"/>
                <w:kern w:val="0"/>
                <w:sz w:val="24"/>
                <w:szCs w:val="24"/>
                <w:u w:val="none"/>
                <w:lang w:val="en-US" w:eastAsia="zh-CN" w:bidi="ar"/>
              </w:rPr>
            </w:pPr>
            <w:r>
              <w:rPr>
                <w:rFonts w:hint="default" w:ascii="仿宋_GB2312" w:hAnsi="宋体" w:eastAsia="仿宋_GB2312" w:cs="仿宋_GB2312"/>
                <w:i w:val="0"/>
                <w:iCs w:val="0"/>
                <w:color w:val="auto"/>
                <w:kern w:val="0"/>
                <w:sz w:val="24"/>
                <w:szCs w:val="24"/>
                <w:u w:val="none"/>
                <w:lang w:val="en-US" w:eastAsia="zh-CN" w:bidi="ar"/>
              </w:rPr>
              <w:t>从销售接单，到生产计划、物料采购、仓库进出料管理、质量管理、财务与成本核算，使企业管理更加灵活的面对供需变动。掌握准确及时、完整信息的基础上，做出正确决策，采取准确管理的措施。</w:t>
            </w:r>
          </w:p>
        </w:tc>
        <w:tc>
          <w:tcPr>
            <w:tcW w:w="2043" w:type="dxa"/>
            <w:tcBorders>
              <w:top w:val="single" w:color="auto" w:sz="4" w:space="0"/>
              <w:left w:val="nil"/>
              <w:bottom w:val="single" w:color="auto" w:sz="4" w:space="0"/>
              <w:right w:val="single" w:color="auto" w:sz="4" w:space="0"/>
            </w:tcBorders>
            <w:shd w:val="clear" w:color="auto" w:fill="auto"/>
            <w:vAlign w:val="center"/>
          </w:tcPr>
          <w:p w14:paraId="508AD773">
            <w:pPr>
              <w:keepNext w:val="0"/>
              <w:keepLines w:val="0"/>
              <w:widowControl/>
              <w:suppressLineNumbers w:val="0"/>
              <w:jc w:val="both"/>
              <w:textAlignment w:val="center"/>
              <w:rPr>
                <w:rFonts w:hint="eastAsia" w:ascii="仿宋_GB2312" w:hAnsi="宋体" w:eastAsia="仿宋_GB2312" w:cs="仿宋_GB2312"/>
                <w:i w:val="0"/>
                <w:iCs w:val="0"/>
                <w:color w:val="auto"/>
                <w:kern w:val="0"/>
                <w:sz w:val="24"/>
                <w:szCs w:val="24"/>
                <w:u w:val="none"/>
                <w:lang w:val="en-US" w:eastAsia="zh-CN" w:bidi="ar"/>
              </w:rPr>
            </w:pPr>
            <w:r>
              <w:rPr>
                <w:rFonts w:hint="default" w:ascii="仿宋_GB2312" w:hAnsi="宋体" w:eastAsia="仿宋_GB2312" w:cs="仿宋_GB2312"/>
                <w:i w:val="0"/>
                <w:iCs w:val="0"/>
                <w:color w:val="auto"/>
                <w:kern w:val="0"/>
                <w:sz w:val="24"/>
                <w:szCs w:val="24"/>
                <w:u w:val="none"/>
                <w:lang w:val="en-US" w:eastAsia="zh-CN" w:bidi="ar"/>
              </w:rPr>
              <w:t>按功能模块和用户数计价，按年租赁；每个功能模块0.08万/年-1万/年不等，每增加一个用户按0.1万/用户收费，5万</w:t>
            </w:r>
            <w:r>
              <w:rPr>
                <w:rFonts w:hint="eastAsia" w:ascii="仿宋_GB2312" w:hAnsi="宋体" w:eastAsia="仿宋_GB2312" w:cs="仿宋_GB2312"/>
                <w:i w:val="0"/>
                <w:iCs w:val="0"/>
                <w:color w:val="auto"/>
                <w:kern w:val="0"/>
                <w:sz w:val="24"/>
                <w:szCs w:val="24"/>
                <w:u w:val="none"/>
                <w:lang w:val="en-US" w:eastAsia="zh-CN" w:bidi="ar"/>
              </w:rPr>
              <w:t>元</w:t>
            </w:r>
            <w:r>
              <w:rPr>
                <w:rFonts w:hint="default" w:ascii="仿宋_GB2312" w:hAnsi="宋体" w:eastAsia="仿宋_GB2312" w:cs="仿宋_GB2312"/>
                <w:i w:val="0"/>
                <w:iCs w:val="0"/>
                <w:color w:val="auto"/>
                <w:kern w:val="0"/>
                <w:sz w:val="24"/>
                <w:szCs w:val="24"/>
                <w:u w:val="none"/>
                <w:lang w:val="en-US" w:eastAsia="zh-CN" w:bidi="ar"/>
              </w:rPr>
              <w:t>-</w:t>
            </w:r>
            <w:r>
              <w:rPr>
                <w:rFonts w:hint="eastAsia" w:ascii="仿宋_GB2312" w:hAnsi="宋体" w:eastAsia="仿宋_GB2312" w:cs="仿宋_GB2312"/>
                <w:i w:val="0"/>
                <w:iCs w:val="0"/>
                <w:color w:val="auto"/>
                <w:kern w:val="0"/>
                <w:sz w:val="24"/>
                <w:szCs w:val="24"/>
                <w:u w:val="none"/>
                <w:lang w:val="en-US" w:eastAsia="zh-CN" w:bidi="ar"/>
              </w:rPr>
              <w:t>100</w:t>
            </w:r>
            <w:r>
              <w:rPr>
                <w:rFonts w:hint="default" w:ascii="仿宋_GB2312" w:hAnsi="宋体" w:eastAsia="仿宋_GB2312" w:cs="仿宋_GB2312"/>
                <w:i w:val="0"/>
                <w:iCs w:val="0"/>
                <w:color w:val="auto"/>
                <w:kern w:val="0"/>
                <w:sz w:val="24"/>
                <w:szCs w:val="24"/>
                <w:u w:val="none"/>
                <w:lang w:val="en-US" w:eastAsia="zh-CN" w:bidi="ar"/>
              </w:rPr>
              <w:t>万</w:t>
            </w:r>
            <w:r>
              <w:rPr>
                <w:rFonts w:hint="eastAsia" w:ascii="仿宋_GB2312" w:hAnsi="宋体" w:eastAsia="仿宋_GB2312" w:cs="仿宋_GB2312"/>
                <w:i w:val="0"/>
                <w:iCs w:val="0"/>
                <w:color w:val="auto"/>
                <w:kern w:val="0"/>
                <w:sz w:val="24"/>
                <w:szCs w:val="24"/>
                <w:u w:val="none"/>
                <w:lang w:val="en-US" w:eastAsia="zh-CN" w:bidi="ar"/>
              </w:rPr>
              <w:t xml:space="preserve">元 </w:t>
            </w:r>
            <w:r>
              <w:rPr>
                <w:rFonts w:hint="default" w:ascii="仿宋_GB2312" w:hAnsi="宋体" w:eastAsia="仿宋_GB2312" w:cs="仿宋_GB2312"/>
                <w:i w:val="0"/>
                <w:iCs w:val="0"/>
                <w:color w:val="auto"/>
                <w:kern w:val="0"/>
                <w:sz w:val="24"/>
                <w:szCs w:val="24"/>
                <w:u w:val="none"/>
                <w:lang w:val="en-US" w:eastAsia="zh-CN" w:bidi="ar"/>
              </w:rPr>
              <w:t>。</w:t>
            </w:r>
          </w:p>
        </w:tc>
        <w:tc>
          <w:tcPr>
            <w:tcW w:w="3287" w:type="dxa"/>
            <w:tcBorders>
              <w:top w:val="single" w:color="auto" w:sz="4" w:space="0"/>
              <w:left w:val="nil"/>
              <w:bottom w:val="single" w:color="auto" w:sz="4" w:space="0"/>
              <w:right w:val="single" w:color="auto" w:sz="4" w:space="0"/>
            </w:tcBorders>
            <w:shd w:val="clear" w:color="auto" w:fill="auto"/>
            <w:vAlign w:val="center"/>
          </w:tcPr>
          <w:p w14:paraId="121F91B0">
            <w:pPr>
              <w:rPr>
                <w:rFonts w:hint="eastAsia" w:eastAsia="仿宋_GB2312"/>
                <w:color w:val="auto"/>
                <w:lang w:val="en-US" w:eastAsia="zh-CN"/>
              </w:rPr>
            </w:pPr>
            <w:r>
              <w:rPr>
                <w:rFonts w:hint="eastAsia" w:ascii="仿宋_GB2312" w:hAnsi="仿宋_GB2312" w:eastAsia="仿宋_GB2312" w:cs="仿宋_GB2312"/>
                <w:color w:val="auto"/>
                <w:kern w:val="0"/>
                <w:sz w:val="24"/>
                <w:szCs w:val="24"/>
                <w:lang w:val="en-US" w:eastAsia="zh-CN"/>
              </w:rPr>
              <w:t>新增</w:t>
            </w:r>
          </w:p>
        </w:tc>
      </w:tr>
      <w:tr w14:paraId="5C9BEBF6">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077A5D1E">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2</w:t>
            </w:r>
          </w:p>
        </w:tc>
        <w:tc>
          <w:tcPr>
            <w:tcW w:w="1602" w:type="dxa"/>
            <w:tcBorders>
              <w:top w:val="single" w:color="auto" w:sz="4" w:space="0"/>
              <w:left w:val="nil"/>
              <w:bottom w:val="single" w:color="auto" w:sz="4" w:space="0"/>
              <w:right w:val="single" w:color="auto" w:sz="4" w:space="0"/>
            </w:tcBorders>
            <w:shd w:val="clear" w:color="auto" w:fill="auto"/>
            <w:vAlign w:val="center"/>
          </w:tcPr>
          <w:p w14:paraId="6BDBF853">
            <w:pPr>
              <w:keepNext w:val="0"/>
              <w:keepLines w:val="0"/>
              <w:widowControl/>
              <w:suppressLineNumbers w:val="0"/>
              <w:tabs>
                <w:tab w:val="left" w:pos="1120"/>
              </w:tabs>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金蝶云星辰</w:t>
            </w:r>
          </w:p>
        </w:tc>
        <w:tc>
          <w:tcPr>
            <w:tcW w:w="2613" w:type="dxa"/>
            <w:tcBorders>
              <w:top w:val="single" w:color="auto" w:sz="4" w:space="0"/>
              <w:left w:val="nil"/>
              <w:bottom w:val="single" w:color="auto" w:sz="4" w:space="0"/>
              <w:right w:val="single" w:color="auto" w:sz="4" w:space="0"/>
            </w:tcBorders>
            <w:shd w:val="clear" w:color="auto" w:fill="auto"/>
            <w:vAlign w:val="center"/>
          </w:tcPr>
          <w:p w14:paraId="147262A8">
            <w:pPr>
              <w:keepNext w:val="0"/>
              <w:keepLines w:val="0"/>
              <w:widowControl/>
              <w:suppressLineNumbers w:val="0"/>
              <w:jc w:val="both"/>
              <w:textAlignment w:val="center"/>
              <w:rPr>
                <w:rFonts w:hint="eastAsia" w:ascii="仿宋_GB2312" w:hAnsi="宋体" w:eastAsia="仿宋_GB2312" w:cs="仿宋_GB2312"/>
                <w:i w:val="0"/>
                <w:iCs w:val="0"/>
                <w:color w:val="auto"/>
                <w:kern w:val="2"/>
                <w:sz w:val="24"/>
                <w:szCs w:val="24"/>
                <w:u w:val="none"/>
                <w:lang w:val="en-US" w:eastAsia="zh-CN" w:bidi="ar-SA"/>
              </w:rPr>
            </w:pPr>
            <w:r>
              <w:rPr>
                <w:rFonts w:hint="default" w:ascii="仿宋_GB2312" w:hAnsi="宋体" w:eastAsia="仿宋_GB2312" w:cs="仿宋_GB2312"/>
                <w:i w:val="0"/>
                <w:iCs w:val="0"/>
                <w:color w:val="auto"/>
                <w:kern w:val="0"/>
                <w:sz w:val="24"/>
                <w:szCs w:val="24"/>
                <w:u w:val="none"/>
                <w:lang w:val="en-US" w:eastAsia="zh-CN" w:bidi="ar"/>
              </w:rPr>
              <w:t>聚焦小型企业在线经营和数字化管理，以“新财税、新营销、新平台”三大特性赋能企业，提供财务云、税务云、进销存云、订货商城等SaaS服务，支持小型企业拓客开源、智能管理、实时决策。</w:t>
            </w:r>
          </w:p>
        </w:tc>
        <w:tc>
          <w:tcPr>
            <w:tcW w:w="4092" w:type="dxa"/>
            <w:tcBorders>
              <w:top w:val="single" w:color="auto" w:sz="4" w:space="0"/>
              <w:left w:val="nil"/>
              <w:bottom w:val="single" w:color="auto" w:sz="4" w:space="0"/>
              <w:right w:val="single" w:color="auto" w:sz="4" w:space="0"/>
            </w:tcBorders>
            <w:shd w:val="clear" w:color="auto" w:fill="auto"/>
            <w:vAlign w:val="center"/>
          </w:tcPr>
          <w:p w14:paraId="508D20B5">
            <w:pPr>
              <w:keepNext w:val="0"/>
              <w:keepLines w:val="0"/>
              <w:widowControl/>
              <w:suppressLineNumbers w:val="0"/>
              <w:jc w:val="both"/>
              <w:textAlignment w:val="center"/>
              <w:rPr>
                <w:rFonts w:hint="eastAsia" w:ascii="仿宋_GB2312" w:hAnsi="宋体" w:eastAsia="仿宋_GB2312" w:cs="仿宋_GB2312"/>
                <w:i w:val="0"/>
                <w:iCs w:val="0"/>
                <w:color w:val="auto"/>
                <w:kern w:val="2"/>
                <w:sz w:val="24"/>
                <w:szCs w:val="24"/>
                <w:u w:val="none"/>
                <w:lang w:val="en-US" w:eastAsia="zh-CN" w:bidi="ar-SA"/>
              </w:rPr>
            </w:pPr>
            <w:r>
              <w:rPr>
                <w:rFonts w:hint="default" w:ascii="仿宋_GB2312" w:hAnsi="宋体" w:eastAsia="仿宋_GB2312" w:cs="仿宋_GB2312"/>
                <w:i w:val="0"/>
                <w:iCs w:val="0"/>
                <w:color w:val="auto"/>
                <w:kern w:val="0"/>
                <w:sz w:val="24"/>
                <w:szCs w:val="24"/>
                <w:u w:val="none"/>
                <w:lang w:val="en-US" w:eastAsia="zh-CN" w:bidi="ar"/>
              </w:rPr>
              <w:t>通过系统的整体流程，固化并优化企业管理，提升企业管理规范性；移动端随时随地使用，财务业务数据及时掌控，移动审批，方便快捷，提升效率；业务单据自动生成会计凭证，三大报表自动生成，数据更严谨。</w:t>
            </w:r>
          </w:p>
        </w:tc>
        <w:tc>
          <w:tcPr>
            <w:tcW w:w="2043" w:type="dxa"/>
            <w:tcBorders>
              <w:top w:val="single" w:color="auto" w:sz="4" w:space="0"/>
              <w:left w:val="nil"/>
              <w:bottom w:val="single" w:color="auto" w:sz="4" w:space="0"/>
              <w:right w:val="single" w:color="auto" w:sz="4" w:space="0"/>
            </w:tcBorders>
            <w:shd w:val="clear" w:color="auto" w:fill="auto"/>
            <w:vAlign w:val="center"/>
          </w:tcPr>
          <w:p w14:paraId="07C38827">
            <w:pPr>
              <w:keepNext w:val="0"/>
              <w:keepLines w:val="0"/>
              <w:widowControl/>
              <w:suppressLineNumbers w:val="0"/>
              <w:jc w:val="both"/>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按模块和用户数、账套数收费，按年收取租赁费，基础模块</w:t>
            </w:r>
            <w:r>
              <w:rPr>
                <w:rFonts w:hint="default" w:ascii="仿宋_GB2312" w:hAnsi="宋体" w:eastAsia="仿宋_GB2312" w:cs="仿宋_GB2312"/>
                <w:i w:val="0"/>
                <w:iCs w:val="0"/>
                <w:color w:val="auto"/>
                <w:kern w:val="0"/>
                <w:sz w:val="24"/>
                <w:szCs w:val="24"/>
                <w:u w:val="none"/>
                <w:lang w:val="en-US" w:eastAsia="zh-CN" w:bidi="ar"/>
              </w:rPr>
              <w:t>0.28</w:t>
            </w:r>
            <w:r>
              <w:rPr>
                <w:rFonts w:hint="eastAsia" w:ascii="仿宋_GB2312" w:hAnsi="宋体" w:eastAsia="仿宋_GB2312" w:cs="仿宋_GB2312"/>
                <w:i w:val="0"/>
                <w:iCs w:val="0"/>
                <w:color w:val="auto"/>
                <w:kern w:val="0"/>
                <w:sz w:val="24"/>
                <w:szCs w:val="24"/>
                <w:u w:val="none"/>
                <w:lang w:val="en-US" w:eastAsia="zh-CN" w:bidi="ar"/>
              </w:rPr>
              <w:t>万</w:t>
            </w:r>
            <w:r>
              <w:rPr>
                <w:rFonts w:hint="default" w:ascii="仿宋_GB2312" w:hAnsi="宋体" w:eastAsia="仿宋_GB2312" w:cs="仿宋_GB2312"/>
                <w:i w:val="0"/>
                <w:iCs w:val="0"/>
                <w:color w:val="auto"/>
                <w:kern w:val="0"/>
                <w:sz w:val="24"/>
                <w:szCs w:val="24"/>
                <w:u w:val="none"/>
                <w:lang w:val="en-US" w:eastAsia="zh-CN" w:bidi="ar"/>
              </w:rPr>
              <w:t>/</w:t>
            </w:r>
            <w:r>
              <w:rPr>
                <w:rFonts w:hint="eastAsia" w:ascii="仿宋_GB2312" w:hAnsi="宋体" w:eastAsia="仿宋_GB2312" w:cs="仿宋_GB2312"/>
                <w:i w:val="0"/>
                <w:iCs w:val="0"/>
                <w:color w:val="auto"/>
                <w:kern w:val="0"/>
                <w:sz w:val="24"/>
                <w:szCs w:val="24"/>
                <w:u w:val="none"/>
                <w:lang w:val="en-US" w:eastAsia="zh-CN" w:bidi="ar"/>
              </w:rPr>
              <w:t>年</w:t>
            </w:r>
            <w:r>
              <w:rPr>
                <w:rFonts w:hint="default" w:ascii="仿宋_GB2312" w:hAnsi="宋体" w:eastAsia="仿宋_GB2312" w:cs="仿宋_GB2312"/>
                <w:i w:val="0"/>
                <w:iCs w:val="0"/>
                <w:color w:val="auto"/>
                <w:kern w:val="0"/>
                <w:sz w:val="24"/>
                <w:szCs w:val="24"/>
                <w:u w:val="none"/>
                <w:lang w:val="en-US" w:eastAsia="zh-CN" w:bidi="ar"/>
              </w:rPr>
              <w:t>-0.38</w:t>
            </w:r>
            <w:r>
              <w:rPr>
                <w:rFonts w:hint="eastAsia" w:ascii="仿宋_GB2312" w:hAnsi="宋体" w:eastAsia="仿宋_GB2312" w:cs="仿宋_GB2312"/>
                <w:i w:val="0"/>
                <w:iCs w:val="0"/>
                <w:color w:val="auto"/>
                <w:kern w:val="0"/>
                <w:sz w:val="24"/>
                <w:szCs w:val="24"/>
                <w:u w:val="none"/>
                <w:lang w:val="en-US" w:eastAsia="zh-CN" w:bidi="ar"/>
              </w:rPr>
              <w:t>万</w:t>
            </w:r>
            <w:r>
              <w:rPr>
                <w:rFonts w:hint="default" w:ascii="仿宋_GB2312" w:hAnsi="宋体" w:eastAsia="仿宋_GB2312" w:cs="仿宋_GB2312"/>
                <w:i w:val="0"/>
                <w:iCs w:val="0"/>
                <w:color w:val="auto"/>
                <w:kern w:val="0"/>
                <w:sz w:val="24"/>
                <w:szCs w:val="24"/>
                <w:u w:val="none"/>
                <w:lang w:val="en-US" w:eastAsia="zh-CN" w:bidi="ar"/>
              </w:rPr>
              <w:t>/</w:t>
            </w:r>
            <w:r>
              <w:rPr>
                <w:rFonts w:hint="eastAsia" w:ascii="仿宋_GB2312" w:hAnsi="宋体" w:eastAsia="仿宋_GB2312" w:cs="仿宋_GB2312"/>
                <w:i w:val="0"/>
                <w:iCs w:val="0"/>
                <w:color w:val="auto"/>
                <w:kern w:val="0"/>
                <w:sz w:val="24"/>
                <w:szCs w:val="24"/>
                <w:u w:val="none"/>
                <w:lang w:val="en-US" w:eastAsia="zh-CN" w:bidi="ar"/>
              </w:rPr>
              <w:t>年不等，用户</w:t>
            </w:r>
            <w:r>
              <w:rPr>
                <w:rFonts w:hint="default" w:ascii="仿宋_GB2312" w:hAnsi="宋体" w:eastAsia="仿宋_GB2312" w:cs="仿宋_GB2312"/>
                <w:i w:val="0"/>
                <w:iCs w:val="0"/>
                <w:color w:val="auto"/>
                <w:kern w:val="0"/>
                <w:sz w:val="24"/>
                <w:szCs w:val="24"/>
                <w:u w:val="none"/>
                <w:lang w:val="en-US" w:eastAsia="zh-CN" w:bidi="ar"/>
              </w:rPr>
              <w:t>0.1</w:t>
            </w:r>
            <w:r>
              <w:rPr>
                <w:rFonts w:hint="eastAsia" w:ascii="仿宋_GB2312" w:hAnsi="宋体" w:eastAsia="仿宋_GB2312" w:cs="仿宋_GB2312"/>
                <w:i w:val="0"/>
                <w:iCs w:val="0"/>
                <w:color w:val="auto"/>
                <w:kern w:val="0"/>
                <w:sz w:val="24"/>
                <w:szCs w:val="24"/>
                <w:u w:val="none"/>
                <w:lang w:val="en-US" w:eastAsia="zh-CN" w:bidi="ar"/>
              </w:rPr>
              <w:t>万</w:t>
            </w:r>
            <w:r>
              <w:rPr>
                <w:rFonts w:hint="default" w:ascii="仿宋_GB2312" w:hAnsi="宋体" w:eastAsia="仿宋_GB2312" w:cs="仿宋_GB2312"/>
                <w:i w:val="0"/>
                <w:iCs w:val="0"/>
                <w:color w:val="auto"/>
                <w:kern w:val="0"/>
                <w:sz w:val="24"/>
                <w:szCs w:val="24"/>
                <w:u w:val="none"/>
                <w:lang w:val="en-US" w:eastAsia="zh-CN" w:bidi="ar"/>
              </w:rPr>
              <w:t>/</w:t>
            </w:r>
            <w:r>
              <w:rPr>
                <w:rFonts w:hint="eastAsia" w:ascii="仿宋_GB2312" w:hAnsi="宋体" w:eastAsia="仿宋_GB2312" w:cs="仿宋_GB2312"/>
                <w:i w:val="0"/>
                <w:iCs w:val="0"/>
                <w:color w:val="auto"/>
                <w:kern w:val="0"/>
                <w:sz w:val="24"/>
                <w:szCs w:val="24"/>
                <w:u w:val="none"/>
                <w:lang w:val="en-US" w:eastAsia="zh-CN" w:bidi="ar"/>
              </w:rPr>
              <w:t>用户</w:t>
            </w:r>
            <w:r>
              <w:rPr>
                <w:rFonts w:hint="default" w:ascii="仿宋_GB2312" w:hAnsi="宋体" w:eastAsia="仿宋_GB2312" w:cs="仿宋_GB2312"/>
                <w:i w:val="0"/>
                <w:iCs w:val="0"/>
                <w:color w:val="auto"/>
                <w:kern w:val="0"/>
                <w:sz w:val="24"/>
                <w:szCs w:val="24"/>
                <w:u w:val="none"/>
                <w:lang w:val="en-US" w:eastAsia="zh-CN" w:bidi="ar"/>
              </w:rPr>
              <w:t>/</w:t>
            </w:r>
            <w:r>
              <w:rPr>
                <w:rFonts w:hint="eastAsia" w:ascii="仿宋_GB2312" w:hAnsi="宋体" w:eastAsia="仿宋_GB2312" w:cs="仿宋_GB2312"/>
                <w:i w:val="0"/>
                <w:iCs w:val="0"/>
                <w:color w:val="auto"/>
                <w:kern w:val="0"/>
                <w:sz w:val="24"/>
                <w:szCs w:val="24"/>
                <w:u w:val="none"/>
                <w:lang w:val="en-US" w:eastAsia="zh-CN" w:bidi="ar"/>
              </w:rPr>
              <w:t>年，0.5万元-15万元。</w:t>
            </w:r>
          </w:p>
        </w:tc>
        <w:tc>
          <w:tcPr>
            <w:tcW w:w="3287" w:type="dxa"/>
            <w:tcBorders>
              <w:top w:val="single" w:color="auto" w:sz="4" w:space="0"/>
              <w:left w:val="nil"/>
              <w:bottom w:val="single" w:color="auto" w:sz="4" w:space="0"/>
              <w:right w:val="single" w:color="auto" w:sz="4" w:space="0"/>
            </w:tcBorders>
            <w:shd w:val="clear" w:color="auto" w:fill="auto"/>
            <w:vAlign w:val="center"/>
          </w:tcPr>
          <w:p w14:paraId="58D58C6A">
            <w:pPr>
              <w:rPr>
                <w:rFonts w:hint="eastAsia"/>
                <w:color w:val="auto"/>
                <w:lang w:val="en-US" w:eastAsia="zh-CN"/>
              </w:rPr>
            </w:pPr>
            <w:r>
              <w:rPr>
                <w:rFonts w:hint="eastAsia" w:ascii="仿宋_GB2312" w:hAnsi="仿宋_GB2312" w:eastAsia="仿宋_GB2312" w:cs="仿宋_GB2312"/>
                <w:color w:val="auto"/>
                <w:kern w:val="0"/>
                <w:sz w:val="24"/>
                <w:szCs w:val="24"/>
                <w:lang w:val="en-US" w:eastAsia="zh-CN"/>
              </w:rPr>
              <w:t>新增</w:t>
            </w:r>
          </w:p>
        </w:tc>
      </w:tr>
      <w:tr w14:paraId="1FD9F63E">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3237BFB8">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3</w:t>
            </w:r>
          </w:p>
        </w:tc>
        <w:tc>
          <w:tcPr>
            <w:tcW w:w="1602" w:type="dxa"/>
            <w:tcBorders>
              <w:top w:val="single" w:color="auto" w:sz="4" w:space="0"/>
              <w:left w:val="nil"/>
              <w:bottom w:val="single" w:color="auto" w:sz="4" w:space="0"/>
              <w:right w:val="single" w:color="auto" w:sz="4" w:space="0"/>
            </w:tcBorders>
            <w:shd w:val="clear" w:color="auto" w:fill="auto"/>
            <w:vAlign w:val="center"/>
          </w:tcPr>
          <w:p w14:paraId="3B12BB70">
            <w:pPr>
              <w:keepNext w:val="0"/>
              <w:keepLines w:val="0"/>
              <w:widowControl/>
              <w:suppressLineNumbers w:val="0"/>
              <w:tabs>
                <w:tab w:val="left" w:pos="1120"/>
              </w:tabs>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金蝶KIS云</w:t>
            </w:r>
          </w:p>
        </w:tc>
        <w:tc>
          <w:tcPr>
            <w:tcW w:w="2613" w:type="dxa"/>
            <w:tcBorders>
              <w:top w:val="single" w:color="auto" w:sz="4" w:space="0"/>
              <w:left w:val="nil"/>
              <w:bottom w:val="single" w:color="auto" w:sz="4" w:space="0"/>
              <w:right w:val="single" w:color="auto" w:sz="4" w:space="0"/>
            </w:tcBorders>
            <w:shd w:val="clear" w:color="auto" w:fill="auto"/>
            <w:vAlign w:val="center"/>
          </w:tcPr>
          <w:p w14:paraId="452F2359">
            <w:pPr>
              <w:keepNext w:val="0"/>
              <w:keepLines w:val="0"/>
              <w:widowControl/>
              <w:suppressLineNumbers w:val="0"/>
              <w:jc w:val="both"/>
              <w:textAlignment w:val="center"/>
              <w:rPr>
                <w:rFonts w:hint="eastAsia" w:ascii="仿宋_GB2312" w:hAnsi="宋体" w:eastAsia="仿宋_GB2312" w:cs="仿宋_GB2312"/>
                <w:i w:val="0"/>
                <w:iCs w:val="0"/>
                <w:color w:val="auto"/>
                <w:kern w:val="2"/>
                <w:sz w:val="24"/>
                <w:szCs w:val="24"/>
                <w:u w:val="none"/>
                <w:lang w:val="en-US" w:eastAsia="zh-CN" w:bidi="ar-SA"/>
              </w:rPr>
            </w:pPr>
            <w:r>
              <w:rPr>
                <w:rFonts w:hint="default" w:ascii="仿宋_GB2312" w:hAnsi="宋体" w:eastAsia="仿宋_GB2312" w:cs="仿宋_GB2312"/>
                <w:i w:val="0"/>
                <w:iCs w:val="0"/>
                <w:color w:val="auto"/>
                <w:kern w:val="0"/>
                <w:sz w:val="24"/>
                <w:szCs w:val="24"/>
                <w:u w:val="none"/>
                <w:lang w:val="en-US" w:eastAsia="zh-CN" w:bidi="ar"/>
              </w:rPr>
              <w:t>为中小型制造、商贸流通企业提供全方位的云应用解决方案支持企业生产上云、供应链和财务上云，企业员工通过KIS云随时随地可以通过Pc端、手机端完成业务处理，实现企业上云办公，让企业管理更高效。</w:t>
            </w:r>
          </w:p>
        </w:tc>
        <w:tc>
          <w:tcPr>
            <w:tcW w:w="4092" w:type="dxa"/>
            <w:tcBorders>
              <w:top w:val="single" w:color="auto" w:sz="4" w:space="0"/>
              <w:left w:val="nil"/>
              <w:bottom w:val="single" w:color="auto" w:sz="4" w:space="0"/>
              <w:right w:val="single" w:color="auto" w:sz="4" w:space="0"/>
            </w:tcBorders>
            <w:shd w:val="clear" w:color="auto" w:fill="auto"/>
            <w:vAlign w:val="center"/>
          </w:tcPr>
          <w:p w14:paraId="51037E78">
            <w:pPr>
              <w:keepNext w:val="0"/>
              <w:keepLines w:val="0"/>
              <w:widowControl/>
              <w:suppressLineNumbers w:val="0"/>
              <w:jc w:val="both"/>
              <w:textAlignment w:val="center"/>
              <w:rPr>
                <w:rFonts w:hint="eastAsia" w:ascii="仿宋_GB2312" w:hAnsi="宋体" w:eastAsia="仿宋_GB2312" w:cs="仿宋_GB2312"/>
                <w:i w:val="0"/>
                <w:iCs w:val="0"/>
                <w:color w:val="auto"/>
                <w:kern w:val="2"/>
                <w:sz w:val="24"/>
                <w:szCs w:val="24"/>
                <w:u w:val="none"/>
                <w:lang w:val="en-US" w:eastAsia="zh-CN" w:bidi="ar-SA"/>
              </w:rPr>
            </w:pPr>
            <w:r>
              <w:rPr>
                <w:rFonts w:hint="default" w:ascii="仿宋_GB2312" w:hAnsi="宋体" w:eastAsia="仿宋_GB2312" w:cs="仿宋_GB2312"/>
                <w:i w:val="0"/>
                <w:iCs w:val="0"/>
                <w:color w:val="auto"/>
                <w:kern w:val="0"/>
                <w:sz w:val="24"/>
                <w:szCs w:val="24"/>
                <w:u w:val="none"/>
                <w:lang w:val="en-US" w:eastAsia="zh-CN" w:bidi="ar"/>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2043" w:type="dxa"/>
            <w:tcBorders>
              <w:top w:val="single" w:color="auto" w:sz="4" w:space="0"/>
              <w:left w:val="nil"/>
              <w:bottom w:val="single" w:color="auto" w:sz="4" w:space="0"/>
              <w:right w:val="single" w:color="auto" w:sz="4" w:space="0"/>
            </w:tcBorders>
            <w:shd w:val="clear" w:color="auto" w:fill="auto"/>
            <w:vAlign w:val="center"/>
          </w:tcPr>
          <w:p w14:paraId="03930D4D">
            <w:pPr>
              <w:keepNext w:val="0"/>
              <w:keepLines w:val="0"/>
              <w:widowControl/>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仿宋_GB2312" w:hAnsi="宋体" w:eastAsia="仿宋_GB2312" w:cs="仿宋_GB2312"/>
                <w:i w:val="0"/>
                <w:iCs w:val="0"/>
                <w:color w:val="auto"/>
                <w:kern w:val="0"/>
                <w:sz w:val="24"/>
                <w:szCs w:val="24"/>
                <w:u w:val="none"/>
                <w:lang w:val="en-US" w:eastAsia="zh-CN" w:bidi="ar"/>
              </w:rPr>
              <w:t>按功能模块和用户数计价，按年租赁；每个功能模块</w:t>
            </w:r>
            <w:r>
              <w:rPr>
                <w:rFonts w:hint="default" w:ascii="仿宋_GB2312" w:hAnsi="宋体" w:eastAsia="仿宋_GB2312" w:cs="仿宋_GB2312"/>
                <w:i w:val="0"/>
                <w:iCs w:val="0"/>
                <w:color w:val="auto"/>
                <w:kern w:val="0"/>
                <w:sz w:val="24"/>
                <w:szCs w:val="24"/>
                <w:u w:val="none"/>
                <w:lang w:val="en-US" w:eastAsia="zh-CN" w:bidi="ar"/>
              </w:rPr>
              <w:t>0.08</w:t>
            </w:r>
            <w:r>
              <w:rPr>
                <w:rFonts w:hint="eastAsia" w:ascii="仿宋_GB2312" w:hAnsi="宋体" w:eastAsia="仿宋_GB2312" w:cs="仿宋_GB2312"/>
                <w:i w:val="0"/>
                <w:iCs w:val="0"/>
                <w:color w:val="auto"/>
                <w:kern w:val="0"/>
                <w:sz w:val="24"/>
                <w:szCs w:val="24"/>
                <w:u w:val="none"/>
                <w:lang w:val="en-US" w:eastAsia="zh-CN" w:bidi="ar"/>
              </w:rPr>
              <w:t>万</w:t>
            </w:r>
            <w:r>
              <w:rPr>
                <w:rFonts w:hint="default" w:ascii="仿宋_GB2312" w:hAnsi="宋体" w:eastAsia="仿宋_GB2312" w:cs="仿宋_GB2312"/>
                <w:i w:val="0"/>
                <w:iCs w:val="0"/>
                <w:color w:val="auto"/>
                <w:kern w:val="0"/>
                <w:sz w:val="24"/>
                <w:szCs w:val="24"/>
                <w:u w:val="none"/>
                <w:lang w:val="en-US" w:eastAsia="zh-CN" w:bidi="ar"/>
              </w:rPr>
              <w:t>/</w:t>
            </w:r>
            <w:r>
              <w:rPr>
                <w:rFonts w:hint="eastAsia" w:ascii="仿宋_GB2312" w:hAnsi="宋体" w:eastAsia="仿宋_GB2312" w:cs="仿宋_GB2312"/>
                <w:i w:val="0"/>
                <w:iCs w:val="0"/>
                <w:color w:val="auto"/>
                <w:kern w:val="0"/>
                <w:sz w:val="24"/>
                <w:szCs w:val="24"/>
                <w:u w:val="none"/>
                <w:lang w:val="en-US" w:eastAsia="zh-CN" w:bidi="ar"/>
              </w:rPr>
              <w:t>年</w:t>
            </w:r>
            <w:r>
              <w:rPr>
                <w:rFonts w:hint="default" w:ascii="仿宋_GB2312" w:hAnsi="宋体" w:eastAsia="仿宋_GB2312" w:cs="仿宋_GB2312"/>
                <w:i w:val="0"/>
                <w:iCs w:val="0"/>
                <w:color w:val="auto"/>
                <w:kern w:val="0"/>
                <w:sz w:val="24"/>
                <w:szCs w:val="24"/>
                <w:u w:val="none"/>
                <w:lang w:val="en-US" w:eastAsia="zh-CN" w:bidi="ar"/>
              </w:rPr>
              <w:t>-1</w:t>
            </w:r>
            <w:r>
              <w:rPr>
                <w:rFonts w:hint="eastAsia" w:ascii="仿宋_GB2312" w:hAnsi="宋体" w:eastAsia="仿宋_GB2312" w:cs="仿宋_GB2312"/>
                <w:i w:val="0"/>
                <w:iCs w:val="0"/>
                <w:color w:val="auto"/>
                <w:kern w:val="0"/>
                <w:sz w:val="24"/>
                <w:szCs w:val="24"/>
                <w:u w:val="none"/>
                <w:lang w:val="en-US" w:eastAsia="zh-CN" w:bidi="ar"/>
              </w:rPr>
              <w:t>万</w:t>
            </w:r>
            <w:r>
              <w:rPr>
                <w:rFonts w:hint="default" w:ascii="仿宋_GB2312" w:hAnsi="宋体" w:eastAsia="仿宋_GB2312" w:cs="仿宋_GB2312"/>
                <w:i w:val="0"/>
                <w:iCs w:val="0"/>
                <w:color w:val="auto"/>
                <w:kern w:val="0"/>
                <w:sz w:val="24"/>
                <w:szCs w:val="24"/>
                <w:u w:val="none"/>
                <w:lang w:val="en-US" w:eastAsia="zh-CN" w:bidi="ar"/>
              </w:rPr>
              <w:t>/</w:t>
            </w:r>
            <w:r>
              <w:rPr>
                <w:rFonts w:hint="eastAsia" w:ascii="仿宋_GB2312" w:hAnsi="宋体" w:eastAsia="仿宋_GB2312" w:cs="仿宋_GB2312"/>
                <w:i w:val="0"/>
                <w:iCs w:val="0"/>
                <w:color w:val="auto"/>
                <w:kern w:val="0"/>
                <w:sz w:val="24"/>
                <w:szCs w:val="24"/>
                <w:u w:val="none"/>
                <w:lang w:val="en-US" w:eastAsia="zh-CN" w:bidi="ar"/>
              </w:rPr>
              <w:t>年不等不等，每增加一个用户按</w:t>
            </w:r>
            <w:r>
              <w:rPr>
                <w:rFonts w:hint="default" w:ascii="仿宋_GB2312" w:hAnsi="宋体" w:eastAsia="仿宋_GB2312" w:cs="仿宋_GB2312"/>
                <w:i w:val="0"/>
                <w:iCs w:val="0"/>
                <w:color w:val="auto"/>
                <w:kern w:val="0"/>
                <w:sz w:val="24"/>
                <w:szCs w:val="24"/>
                <w:u w:val="none"/>
                <w:lang w:val="en-US" w:eastAsia="zh-CN" w:bidi="ar"/>
              </w:rPr>
              <w:t>0.1</w:t>
            </w:r>
            <w:r>
              <w:rPr>
                <w:rFonts w:hint="eastAsia" w:ascii="仿宋_GB2312" w:hAnsi="宋体" w:eastAsia="仿宋_GB2312" w:cs="仿宋_GB2312"/>
                <w:i w:val="0"/>
                <w:iCs w:val="0"/>
                <w:color w:val="auto"/>
                <w:kern w:val="0"/>
                <w:sz w:val="24"/>
                <w:szCs w:val="24"/>
                <w:u w:val="none"/>
                <w:lang w:val="en-US" w:eastAsia="zh-CN" w:bidi="ar"/>
              </w:rPr>
              <w:t>万</w:t>
            </w:r>
            <w:r>
              <w:rPr>
                <w:rFonts w:hint="default" w:ascii="仿宋_GB2312" w:hAnsi="宋体" w:eastAsia="仿宋_GB2312" w:cs="仿宋_GB2312"/>
                <w:i w:val="0"/>
                <w:iCs w:val="0"/>
                <w:color w:val="auto"/>
                <w:kern w:val="0"/>
                <w:sz w:val="24"/>
                <w:szCs w:val="24"/>
                <w:u w:val="none"/>
                <w:lang w:val="en-US" w:eastAsia="zh-CN" w:bidi="ar"/>
              </w:rPr>
              <w:t>/</w:t>
            </w:r>
            <w:r>
              <w:rPr>
                <w:rFonts w:hint="eastAsia" w:ascii="仿宋_GB2312" w:hAnsi="宋体" w:eastAsia="仿宋_GB2312" w:cs="仿宋_GB2312"/>
                <w:i w:val="0"/>
                <w:iCs w:val="0"/>
                <w:color w:val="auto"/>
                <w:kern w:val="0"/>
                <w:sz w:val="24"/>
                <w:szCs w:val="24"/>
                <w:u w:val="none"/>
                <w:lang w:val="en-US" w:eastAsia="zh-CN" w:bidi="ar"/>
              </w:rPr>
              <w:t>用户收费，0.5万元-10万元。</w:t>
            </w:r>
          </w:p>
        </w:tc>
        <w:tc>
          <w:tcPr>
            <w:tcW w:w="3287" w:type="dxa"/>
            <w:tcBorders>
              <w:top w:val="single" w:color="auto" w:sz="4" w:space="0"/>
              <w:left w:val="nil"/>
              <w:bottom w:val="single" w:color="auto" w:sz="4" w:space="0"/>
              <w:right w:val="single" w:color="auto" w:sz="4" w:space="0"/>
            </w:tcBorders>
            <w:shd w:val="clear" w:color="auto" w:fill="auto"/>
            <w:vAlign w:val="center"/>
          </w:tcPr>
          <w:p w14:paraId="500C3CC4">
            <w:pPr>
              <w:rPr>
                <w:rFonts w:hint="eastAsia"/>
                <w:color w:val="auto"/>
                <w:lang w:val="en-US" w:eastAsia="zh-CN"/>
              </w:rPr>
            </w:pPr>
            <w:r>
              <w:rPr>
                <w:rFonts w:hint="eastAsia" w:ascii="仿宋_GB2312" w:hAnsi="仿宋_GB2312" w:eastAsia="仿宋_GB2312" w:cs="仿宋_GB2312"/>
                <w:color w:val="auto"/>
                <w:kern w:val="0"/>
                <w:sz w:val="24"/>
                <w:szCs w:val="24"/>
                <w:lang w:val="en-US" w:eastAsia="zh-CN"/>
              </w:rPr>
              <w:t>新增</w:t>
            </w:r>
          </w:p>
        </w:tc>
      </w:tr>
    </w:tbl>
    <w:p w14:paraId="034DACEE">
      <w:pPr>
        <w:pStyle w:val="2"/>
        <w:rPr>
          <w:rFonts w:hint="eastAsia" w:ascii="仿宋_GB2312" w:hAnsi="仿宋_GB2312" w:eastAsia="仿宋_GB2312" w:cs="仿宋_GB2312"/>
          <w:bCs/>
          <w:sz w:val="32"/>
          <w:szCs w:val="32"/>
        </w:rPr>
      </w:pPr>
    </w:p>
    <w:p w14:paraId="752BA7DC">
      <w:pPr>
        <w:pStyle w:val="2"/>
        <w:rPr>
          <w:rFonts w:hint="eastAsia" w:ascii="仿宋_GB2312" w:hAnsi="仿宋_GB2312" w:eastAsia="仿宋_GB2312" w:cs="仿宋_GB2312"/>
          <w:bCs/>
          <w:sz w:val="32"/>
          <w:szCs w:val="32"/>
        </w:rPr>
      </w:pPr>
    </w:p>
    <w:p w14:paraId="0838F1BE">
      <w:pPr>
        <w:pStyle w:val="2"/>
        <w:rPr>
          <w:rFonts w:hint="eastAsia" w:ascii="仿宋_GB2312" w:hAnsi="仿宋_GB2312" w:eastAsia="仿宋_GB2312" w:cs="仿宋_GB2312"/>
          <w:bCs/>
          <w:sz w:val="32"/>
          <w:szCs w:val="32"/>
        </w:rPr>
      </w:pPr>
    </w:p>
    <w:p w14:paraId="669F88E1">
      <w:pPr>
        <w:pStyle w:val="2"/>
        <w:rPr>
          <w:rFonts w:hint="eastAsia" w:ascii="仿宋_GB2312" w:hAnsi="仿宋_GB2312" w:eastAsia="仿宋_GB2312" w:cs="仿宋_GB2312"/>
          <w:bCs/>
          <w:sz w:val="32"/>
          <w:szCs w:val="32"/>
        </w:rPr>
      </w:pPr>
    </w:p>
    <w:p w14:paraId="5A7185E3">
      <w:pPr>
        <w:pStyle w:val="2"/>
        <w:rPr>
          <w:rFonts w:hint="eastAsia" w:ascii="仿宋_GB2312" w:hAnsi="仿宋_GB2312" w:eastAsia="仿宋_GB2312" w:cs="仿宋_GB2312"/>
          <w:bCs/>
          <w:sz w:val="32"/>
          <w:szCs w:val="32"/>
        </w:rPr>
      </w:pPr>
    </w:p>
    <w:p w14:paraId="4A26CBDF">
      <w:pPr>
        <w:pStyle w:val="2"/>
        <w:rPr>
          <w:rFonts w:hint="eastAsia" w:ascii="仿宋_GB2312" w:hAnsi="仿宋_GB2312" w:eastAsia="仿宋_GB2312" w:cs="仿宋_GB2312"/>
          <w:bCs/>
          <w:sz w:val="32"/>
          <w:szCs w:val="32"/>
        </w:rPr>
      </w:pPr>
    </w:p>
    <w:p w14:paraId="0E60389F">
      <w:pPr>
        <w:pStyle w:val="2"/>
        <w:rPr>
          <w:rFonts w:hint="eastAsia" w:ascii="仿宋_GB2312" w:hAnsi="仿宋_GB2312" w:eastAsia="仿宋_GB2312" w:cs="仿宋_GB2312"/>
          <w:bCs/>
          <w:sz w:val="32"/>
          <w:szCs w:val="32"/>
        </w:rPr>
      </w:pPr>
    </w:p>
    <w:p w14:paraId="57C6F58D">
      <w:pPr>
        <w:pStyle w:val="2"/>
        <w:rPr>
          <w:rFonts w:hint="eastAsia" w:ascii="仿宋_GB2312" w:hAnsi="仿宋_GB2312" w:eastAsia="仿宋_GB2312" w:cs="仿宋_GB2312"/>
          <w:bCs/>
          <w:sz w:val="32"/>
          <w:szCs w:val="32"/>
        </w:rPr>
      </w:pPr>
    </w:p>
    <w:p w14:paraId="1D52A9E5">
      <w:pPr>
        <w:pStyle w:val="2"/>
        <w:rPr>
          <w:rFonts w:hint="eastAsia" w:ascii="仿宋_GB2312" w:hAnsi="仿宋_GB2312" w:eastAsia="仿宋_GB2312" w:cs="仿宋_GB2312"/>
          <w:bCs/>
          <w:sz w:val="32"/>
          <w:szCs w:val="32"/>
        </w:rPr>
      </w:pPr>
    </w:p>
    <w:p w14:paraId="47933730">
      <w:pPr>
        <w:pStyle w:val="2"/>
        <w:rPr>
          <w:rFonts w:hint="eastAsia" w:ascii="仿宋_GB2312" w:hAnsi="仿宋_GB2312" w:eastAsia="仿宋_GB2312" w:cs="仿宋_GB2312"/>
          <w:bCs/>
          <w:sz w:val="32"/>
          <w:szCs w:val="32"/>
        </w:rPr>
      </w:pPr>
    </w:p>
    <w:p w14:paraId="34528755">
      <w:pPr>
        <w:pStyle w:val="2"/>
        <w:rPr>
          <w:rFonts w:hint="eastAsia" w:ascii="仿宋_GB2312" w:hAnsi="仿宋_GB2312" w:eastAsia="仿宋_GB2312" w:cs="仿宋_GB2312"/>
          <w:bCs/>
          <w:sz w:val="32"/>
          <w:szCs w:val="32"/>
        </w:rPr>
      </w:pPr>
    </w:p>
    <w:p w14:paraId="7CB52793">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十</w:t>
      </w:r>
      <w:r>
        <w:rPr>
          <w:rFonts w:hint="eastAsia" w:ascii="仿宋_GB2312" w:hAnsi="仿宋_GB2312" w:eastAsia="仿宋_GB2312" w:cs="仿宋_GB2312"/>
          <w:bCs/>
          <w:sz w:val="32"/>
          <w:szCs w:val="32"/>
          <w:lang w:val="en-US" w:eastAsia="zh-CN"/>
        </w:rPr>
        <w:t>二</w:t>
      </w:r>
      <w:r>
        <w:rPr>
          <w:rFonts w:hint="eastAsia" w:ascii="仿宋_GB2312" w:hAnsi="仿宋_GB2312" w:eastAsia="仿宋_GB2312" w:cs="仿宋_GB2312"/>
          <w:bCs/>
          <w:sz w:val="32"/>
          <w:szCs w:val="32"/>
        </w:rPr>
        <w:t>）联合体成员：广东科睿信息技术有限公司/广东腾一科技有限公司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715"/>
        <w:gridCol w:w="1602"/>
        <w:gridCol w:w="2613"/>
        <w:gridCol w:w="4092"/>
        <w:gridCol w:w="2043"/>
        <w:gridCol w:w="2850"/>
      </w:tblGrid>
      <w:tr w14:paraId="462F840A">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30C8EAD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602" w:type="dxa"/>
            <w:tcBorders>
              <w:top w:val="single" w:color="auto" w:sz="4" w:space="0"/>
              <w:left w:val="nil"/>
              <w:bottom w:val="single" w:color="auto" w:sz="4" w:space="0"/>
              <w:right w:val="single" w:color="auto" w:sz="4" w:space="0"/>
            </w:tcBorders>
            <w:vAlign w:val="center"/>
          </w:tcPr>
          <w:p w14:paraId="66C9F18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613" w:type="dxa"/>
            <w:tcBorders>
              <w:top w:val="single" w:color="auto" w:sz="4" w:space="0"/>
              <w:left w:val="nil"/>
              <w:bottom w:val="single" w:color="auto" w:sz="4" w:space="0"/>
              <w:right w:val="single" w:color="auto" w:sz="4" w:space="0"/>
            </w:tcBorders>
            <w:vAlign w:val="center"/>
          </w:tcPr>
          <w:p w14:paraId="199E6CD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092" w:type="dxa"/>
            <w:tcBorders>
              <w:top w:val="single" w:color="auto" w:sz="4" w:space="0"/>
              <w:left w:val="nil"/>
              <w:bottom w:val="single" w:color="auto" w:sz="4" w:space="0"/>
              <w:right w:val="single" w:color="auto" w:sz="4" w:space="0"/>
            </w:tcBorders>
            <w:vAlign w:val="center"/>
          </w:tcPr>
          <w:p w14:paraId="34EC483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043" w:type="dxa"/>
            <w:tcBorders>
              <w:top w:val="single" w:color="auto" w:sz="4" w:space="0"/>
              <w:left w:val="nil"/>
              <w:bottom w:val="single" w:color="auto" w:sz="4" w:space="0"/>
              <w:right w:val="single" w:color="auto" w:sz="4" w:space="0"/>
            </w:tcBorders>
            <w:vAlign w:val="center"/>
          </w:tcPr>
          <w:p w14:paraId="46548A19">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850" w:type="dxa"/>
            <w:tcBorders>
              <w:top w:val="single" w:color="auto" w:sz="4" w:space="0"/>
              <w:left w:val="nil"/>
              <w:bottom w:val="single" w:color="auto" w:sz="4" w:space="0"/>
              <w:right w:val="single" w:color="auto" w:sz="4" w:space="0"/>
            </w:tcBorders>
            <w:vAlign w:val="center"/>
          </w:tcPr>
          <w:p w14:paraId="3FCE20C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5A9C652">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62B536AD">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1</w:t>
            </w:r>
          </w:p>
        </w:tc>
        <w:tc>
          <w:tcPr>
            <w:tcW w:w="1602" w:type="dxa"/>
            <w:tcBorders>
              <w:top w:val="single" w:color="auto" w:sz="4" w:space="0"/>
              <w:left w:val="nil"/>
              <w:bottom w:val="single" w:color="auto" w:sz="4" w:space="0"/>
              <w:right w:val="single" w:color="auto" w:sz="4" w:space="0"/>
            </w:tcBorders>
            <w:vAlign w:val="center"/>
          </w:tcPr>
          <w:p w14:paraId="5F33115E">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金蝶云星空</w:t>
            </w:r>
          </w:p>
        </w:tc>
        <w:tc>
          <w:tcPr>
            <w:tcW w:w="2613" w:type="dxa"/>
            <w:tcBorders>
              <w:top w:val="single" w:color="auto" w:sz="4" w:space="0"/>
              <w:left w:val="nil"/>
              <w:bottom w:val="single" w:color="auto" w:sz="4" w:space="0"/>
              <w:right w:val="single" w:color="auto" w:sz="4" w:space="0"/>
            </w:tcBorders>
            <w:shd w:val="clear" w:color="auto" w:fill="auto"/>
            <w:vAlign w:val="center"/>
          </w:tcPr>
          <w:p w14:paraId="64579B24">
            <w:pPr>
              <w:widowControl/>
              <w:numPr>
                <w:ilvl w:val="0"/>
                <w:numId w:val="0"/>
              </w:numPr>
              <w:ind w:left="0" w:leftChars="0" w:firstLine="0" w:firstLineChars="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仿宋_GB2312" w:hAnsi="仿宋_GB2312" w:eastAsia="仿宋_GB2312" w:cs="仿宋_GB2312"/>
                <w:color w:val="auto"/>
                <w:kern w:val="0"/>
                <w:sz w:val="24"/>
                <w:szCs w:val="24"/>
                <w:lang w:val="en-US" w:eastAsia="zh-CN"/>
              </w:rPr>
              <w:t>专注于大型企业的</w:t>
            </w:r>
            <w:r>
              <w:rPr>
                <w:rFonts w:hint="default" w:ascii="仿宋_GB2312" w:hAnsi="仿宋_GB2312" w:eastAsia="仿宋_GB2312" w:cs="仿宋_GB2312"/>
                <w:color w:val="auto"/>
                <w:kern w:val="0"/>
                <w:sz w:val="24"/>
                <w:szCs w:val="24"/>
                <w:lang w:val="en-US" w:eastAsia="zh-CN"/>
              </w:rPr>
              <w:t>SaaS</w:t>
            </w:r>
            <w:r>
              <w:rPr>
                <w:rFonts w:hint="eastAsia" w:ascii="仿宋_GB2312" w:hAnsi="仿宋_GB2312" w:eastAsia="仿宋_GB2312" w:cs="仿宋_GB2312"/>
                <w:color w:val="auto"/>
                <w:kern w:val="0"/>
                <w:sz w:val="24"/>
                <w:szCs w:val="24"/>
                <w:lang w:val="en-US" w:eastAsia="zh-CN"/>
              </w:rPr>
              <w:t>服务平台。以涵盖财务、税务、人力、办公协同、营销、供应链、采购、制造等领域</w:t>
            </w:r>
          </w:p>
        </w:tc>
        <w:tc>
          <w:tcPr>
            <w:tcW w:w="4092" w:type="dxa"/>
            <w:tcBorders>
              <w:top w:val="single" w:color="auto" w:sz="4" w:space="0"/>
              <w:left w:val="nil"/>
              <w:bottom w:val="single" w:color="auto" w:sz="4" w:space="0"/>
              <w:right w:val="single" w:color="auto" w:sz="4" w:space="0"/>
            </w:tcBorders>
            <w:vAlign w:val="center"/>
          </w:tcPr>
          <w:p w14:paraId="744FA8F5">
            <w:pPr>
              <w:widowControl/>
              <w:numPr>
                <w:ilvl w:val="0"/>
                <w:numId w:val="0"/>
              </w:numPr>
              <w:ind w:left="0" w:leftChars="0" w:firstLine="0" w:firstLineChars="0"/>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金蝶云·星空聚焦多组织，多利润中心的大小型企业，服务涵盖：财务、供应链、智能制造、阿米巴管理、全渠道营销、电商、HR、企业互联网服务，帮助企业实现数字化营销新生态及管理重构等，提升企业数字化能力</w:t>
            </w:r>
          </w:p>
        </w:tc>
        <w:tc>
          <w:tcPr>
            <w:tcW w:w="2043" w:type="dxa"/>
            <w:tcBorders>
              <w:top w:val="single" w:color="auto" w:sz="4" w:space="0"/>
              <w:left w:val="nil"/>
              <w:bottom w:val="single" w:color="auto" w:sz="4" w:space="0"/>
              <w:right w:val="single" w:color="auto" w:sz="4" w:space="0"/>
            </w:tcBorders>
            <w:shd w:val="clear" w:color="auto" w:fill="auto"/>
            <w:vAlign w:val="center"/>
          </w:tcPr>
          <w:p w14:paraId="19C391DA">
            <w:pPr>
              <w:widowControl/>
              <w:numPr>
                <w:ilvl w:val="0"/>
                <w:numId w:val="0"/>
              </w:numPr>
              <w:ind w:left="0" w:leftChars="0" w:firstLine="0" w:firstLineChars="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仿宋_GB2312" w:hAnsi="仿宋_GB2312" w:eastAsia="仿宋_GB2312" w:cs="仿宋_GB2312"/>
                <w:color w:val="auto"/>
                <w:kern w:val="0"/>
                <w:sz w:val="24"/>
                <w:szCs w:val="24"/>
                <w:lang w:val="en-US" w:eastAsia="zh-CN"/>
              </w:rPr>
              <w:t>10</w:t>
            </w:r>
            <w:r>
              <w:rPr>
                <w:rFonts w:hint="eastAsia" w:ascii="仿宋_GB2312" w:hAnsi="仿宋_GB2312" w:eastAsia="仿宋_GB2312" w:cs="仿宋_GB2312"/>
                <w:color w:val="auto"/>
                <w:kern w:val="0"/>
                <w:sz w:val="24"/>
                <w:szCs w:val="24"/>
                <w:lang w:val="en-US" w:eastAsia="zh-CN"/>
              </w:rPr>
              <w:t>万元</w:t>
            </w:r>
            <w:r>
              <w:rPr>
                <w:rFonts w:hint="default" w:ascii="仿宋_GB2312" w:hAnsi="仿宋_GB2312" w:eastAsia="仿宋_GB2312" w:cs="仿宋_GB2312"/>
                <w:color w:val="auto"/>
                <w:kern w:val="0"/>
                <w:sz w:val="24"/>
                <w:szCs w:val="24"/>
                <w:lang w:val="en-US" w:eastAsia="zh-CN"/>
              </w:rPr>
              <w:t>-100</w:t>
            </w:r>
            <w:r>
              <w:rPr>
                <w:rFonts w:hint="eastAsia" w:ascii="仿宋_GB2312" w:hAnsi="仿宋_GB2312" w:eastAsia="仿宋_GB2312" w:cs="仿宋_GB2312"/>
                <w:color w:val="auto"/>
                <w:kern w:val="0"/>
                <w:sz w:val="24"/>
                <w:szCs w:val="24"/>
                <w:lang w:val="en-US" w:eastAsia="zh-CN"/>
              </w:rPr>
              <w:t>万元</w:t>
            </w:r>
          </w:p>
        </w:tc>
        <w:tc>
          <w:tcPr>
            <w:tcW w:w="2850" w:type="dxa"/>
            <w:tcBorders>
              <w:top w:val="single" w:color="auto" w:sz="4" w:space="0"/>
              <w:left w:val="nil"/>
              <w:bottom w:val="single" w:color="auto" w:sz="4" w:space="0"/>
              <w:right w:val="single" w:color="auto" w:sz="4" w:space="0"/>
            </w:tcBorders>
            <w:vAlign w:val="center"/>
          </w:tcPr>
          <w:p w14:paraId="5047AD24">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2D497F31">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4965F323">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2</w:t>
            </w:r>
          </w:p>
        </w:tc>
        <w:tc>
          <w:tcPr>
            <w:tcW w:w="1602" w:type="dxa"/>
            <w:tcBorders>
              <w:top w:val="single" w:color="auto" w:sz="4" w:space="0"/>
              <w:left w:val="nil"/>
              <w:bottom w:val="single" w:color="auto" w:sz="4" w:space="0"/>
              <w:right w:val="single" w:color="auto" w:sz="4" w:space="0"/>
            </w:tcBorders>
            <w:shd w:val="clear" w:color="auto" w:fill="auto"/>
            <w:vAlign w:val="center"/>
          </w:tcPr>
          <w:p w14:paraId="7B2A75A6">
            <w:pPr>
              <w:widowControl/>
              <w:numPr>
                <w:ilvl w:val="0"/>
                <w:numId w:val="0"/>
              </w:numPr>
              <w:ind w:left="0" w:leftChars="0" w:firstLine="0" w:firstLineChars="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仿宋_GB2312" w:hAnsi="仿宋_GB2312" w:eastAsia="仿宋_GB2312" w:cs="仿宋_GB2312"/>
                <w:color w:val="auto"/>
                <w:kern w:val="0"/>
                <w:sz w:val="24"/>
                <w:szCs w:val="24"/>
                <w:lang w:val="en-US" w:eastAsia="zh-CN"/>
              </w:rPr>
              <w:t>金蝶云星辰</w:t>
            </w:r>
          </w:p>
        </w:tc>
        <w:tc>
          <w:tcPr>
            <w:tcW w:w="2613" w:type="dxa"/>
            <w:tcBorders>
              <w:top w:val="single" w:color="auto" w:sz="4" w:space="0"/>
              <w:left w:val="nil"/>
              <w:bottom w:val="single" w:color="auto" w:sz="4" w:space="0"/>
              <w:right w:val="single" w:color="auto" w:sz="4" w:space="0"/>
            </w:tcBorders>
            <w:shd w:val="clear" w:color="auto" w:fill="auto"/>
            <w:vAlign w:val="center"/>
          </w:tcPr>
          <w:p w14:paraId="6875B91F">
            <w:pPr>
              <w:widowControl/>
              <w:numPr>
                <w:ilvl w:val="0"/>
                <w:numId w:val="0"/>
              </w:numPr>
              <w:ind w:left="0" w:leftChars="0" w:firstLine="0" w:firstLineChars="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仿宋_GB2312" w:hAnsi="仿宋_GB2312" w:eastAsia="仿宋_GB2312" w:cs="仿宋_GB2312"/>
                <w:color w:val="auto"/>
                <w:kern w:val="0"/>
                <w:sz w:val="24"/>
                <w:szCs w:val="24"/>
                <w:lang w:val="en-US" w:eastAsia="zh-CN"/>
              </w:rPr>
              <w:t>小微企业提供财务云、税务云、进销存云、生产云、零售云、电商云、订货云等</w:t>
            </w:r>
            <w:r>
              <w:rPr>
                <w:rFonts w:hint="default" w:ascii="仿宋_GB2312" w:hAnsi="仿宋_GB2312" w:eastAsia="仿宋_GB2312" w:cs="仿宋_GB2312"/>
                <w:color w:val="auto"/>
                <w:kern w:val="0"/>
                <w:sz w:val="24"/>
                <w:szCs w:val="24"/>
                <w:lang w:val="en-US" w:eastAsia="zh-CN"/>
              </w:rPr>
              <w:t>SaaS</w:t>
            </w:r>
            <w:r>
              <w:rPr>
                <w:rFonts w:hint="eastAsia" w:ascii="仿宋_GB2312" w:hAnsi="仿宋_GB2312" w:eastAsia="仿宋_GB2312" w:cs="仿宋_GB2312"/>
                <w:color w:val="auto"/>
                <w:kern w:val="0"/>
                <w:sz w:val="24"/>
                <w:szCs w:val="24"/>
                <w:lang w:val="en-US" w:eastAsia="zh-CN"/>
              </w:rPr>
              <w:t>服务</w:t>
            </w:r>
          </w:p>
        </w:tc>
        <w:tc>
          <w:tcPr>
            <w:tcW w:w="4092" w:type="dxa"/>
            <w:tcBorders>
              <w:top w:val="single" w:color="auto" w:sz="4" w:space="0"/>
              <w:left w:val="nil"/>
              <w:bottom w:val="single" w:color="auto" w:sz="4" w:space="0"/>
              <w:right w:val="single" w:color="auto" w:sz="4" w:space="0"/>
            </w:tcBorders>
            <w:shd w:val="clear" w:color="auto" w:fill="auto"/>
            <w:vAlign w:val="center"/>
          </w:tcPr>
          <w:p w14:paraId="5FD1F15D">
            <w:pPr>
              <w:widowControl/>
              <w:numPr>
                <w:ilvl w:val="0"/>
                <w:numId w:val="0"/>
              </w:numPr>
              <w:ind w:left="0" w:leftChars="0" w:firstLine="0" w:firstLineChars="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仿宋_GB2312" w:hAnsi="仿宋_GB2312" w:eastAsia="仿宋_GB2312" w:cs="仿宋_GB2312"/>
                <w:color w:val="auto"/>
                <w:kern w:val="0"/>
                <w:sz w:val="24"/>
                <w:szCs w:val="24"/>
                <w:lang w:val="en-US" w:eastAsia="zh-CN"/>
              </w:rPr>
              <w:t>财务云、税务云、进销存云、生产云、零售云、电商云、订货云等</w:t>
            </w:r>
            <w:r>
              <w:rPr>
                <w:rFonts w:hint="default" w:ascii="仿宋_GB2312" w:hAnsi="仿宋_GB2312" w:eastAsia="仿宋_GB2312" w:cs="仿宋_GB2312"/>
                <w:color w:val="auto"/>
                <w:kern w:val="0"/>
                <w:sz w:val="24"/>
                <w:szCs w:val="24"/>
                <w:lang w:val="en-US" w:eastAsia="zh-CN"/>
              </w:rPr>
              <w:t>SaaS</w:t>
            </w:r>
            <w:r>
              <w:rPr>
                <w:rFonts w:hint="eastAsia" w:ascii="仿宋_GB2312" w:hAnsi="仿宋_GB2312" w:eastAsia="仿宋_GB2312" w:cs="仿宋_GB2312"/>
                <w:color w:val="auto"/>
                <w:kern w:val="0"/>
                <w:sz w:val="24"/>
                <w:szCs w:val="24"/>
                <w:lang w:val="en-US" w:eastAsia="zh-CN"/>
              </w:rPr>
              <w:t>服务</w:t>
            </w:r>
          </w:p>
        </w:tc>
        <w:tc>
          <w:tcPr>
            <w:tcW w:w="2043" w:type="dxa"/>
            <w:tcBorders>
              <w:top w:val="single" w:color="auto" w:sz="4" w:space="0"/>
              <w:left w:val="nil"/>
              <w:bottom w:val="single" w:color="auto" w:sz="4" w:space="0"/>
              <w:right w:val="single" w:color="auto" w:sz="4" w:space="0"/>
            </w:tcBorders>
            <w:shd w:val="clear" w:color="auto" w:fill="auto"/>
            <w:vAlign w:val="center"/>
          </w:tcPr>
          <w:p w14:paraId="4C7439F9">
            <w:pPr>
              <w:widowControl/>
              <w:numPr>
                <w:ilvl w:val="0"/>
                <w:numId w:val="0"/>
              </w:numPr>
              <w:ind w:left="0" w:leftChars="0" w:firstLine="0" w:firstLineChars="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仿宋_GB2312" w:hAnsi="仿宋_GB2312" w:eastAsia="仿宋_GB2312" w:cs="仿宋_GB2312"/>
                <w:color w:val="auto"/>
                <w:kern w:val="0"/>
                <w:sz w:val="24"/>
                <w:szCs w:val="24"/>
                <w:lang w:val="en-US" w:eastAsia="zh-CN"/>
              </w:rPr>
              <w:t>1</w:t>
            </w:r>
            <w:r>
              <w:rPr>
                <w:rFonts w:hint="eastAsia" w:ascii="仿宋_GB2312" w:hAnsi="仿宋_GB2312" w:eastAsia="仿宋_GB2312" w:cs="仿宋_GB2312"/>
                <w:color w:val="auto"/>
                <w:kern w:val="0"/>
                <w:sz w:val="24"/>
                <w:szCs w:val="24"/>
                <w:lang w:val="en-US" w:eastAsia="zh-CN"/>
              </w:rPr>
              <w:t>万元</w:t>
            </w:r>
            <w:r>
              <w:rPr>
                <w:rFonts w:hint="default" w:ascii="仿宋_GB2312" w:hAnsi="仿宋_GB2312" w:eastAsia="仿宋_GB2312" w:cs="仿宋_GB2312"/>
                <w:color w:val="auto"/>
                <w:kern w:val="0"/>
                <w:sz w:val="24"/>
                <w:szCs w:val="24"/>
                <w:lang w:val="en-US" w:eastAsia="zh-CN"/>
              </w:rPr>
              <w:t>-10</w:t>
            </w:r>
            <w:r>
              <w:rPr>
                <w:rFonts w:hint="eastAsia" w:ascii="仿宋_GB2312" w:hAnsi="仿宋_GB2312" w:eastAsia="仿宋_GB2312" w:cs="仿宋_GB2312"/>
                <w:color w:val="auto"/>
                <w:kern w:val="0"/>
                <w:sz w:val="24"/>
                <w:szCs w:val="24"/>
                <w:lang w:val="en-US" w:eastAsia="zh-CN"/>
              </w:rPr>
              <w:t>万元</w:t>
            </w:r>
          </w:p>
        </w:tc>
        <w:tc>
          <w:tcPr>
            <w:tcW w:w="2850" w:type="dxa"/>
            <w:tcBorders>
              <w:top w:val="single" w:color="auto" w:sz="4" w:space="0"/>
              <w:left w:val="nil"/>
              <w:bottom w:val="single" w:color="auto" w:sz="4" w:space="0"/>
              <w:right w:val="single" w:color="auto" w:sz="4" w:space="0"/>
            </w:tcBorders>
            <w:vAlign w:val="center"/>
          </w:tcPr>
          <w:p w14:paraId="44CE04FE">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558693FF">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4D2E090F">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3</w:t>
            </w:r>
          </w:p>
        </w:tc>
        <w:tc>
          <w:tcPr>
            <w:tcW w:w="1602" w:type="dxa"/>
            <w:tcBorders>
              <w:top w:val="single" w:color="auto" w:sz="4" w:space="0"/>
              <w:left w:val="nil"/>
              <w:bottom w:val="single" w:color="auto" w:sz="4" w:space="0"/>
              <w:right w:val="single" w:color="auto" w:sz="4" w:space="0"/>
            </w:tcBorders>
            <w:shd w:val="clear" w:color="auto" w:fill="auto"/>
            <w:vAlign w:val="center"/>
          </w:tcPr>
          <w:p w14:paraId="14778C6E">
            <w:pPr>
              <w:widowControl/>
              <w:numPr>
                <w:ilvl w:val="0"/>
                <w:numId w:val="0"/>
              </w:numPr>
              <w:ind w:left="0" w:leftChars="0" w:firstLine="0" w:firstLineChars="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仿宋_GB2312" w:hAnsi="仿宋_GB2312" w:eastAsia="仿宋_GB2312" w:cs="仿宋_GB2312"/>
                <w:color w:val="auto"/>
                <w:kern w:val="0"/>
                <w:sz w:val="24"/>
                <w:szCs w:val="24"/>
                <w:lang w:val="en-US" w:eastAsia="zh-CN"/>
              </w:rPr>
              <w:t>金蝶云</w:t>
            </w:r>
            <w:r>
              <w:rPr>
                <w:rFonts w:hint="default" w:ascii="仿宋_GB2312" w:hAnsi="仿宋_GB2312" w:eastAsia="仿宋_GB2312" w:cs="仿宋_GB2312"/>
                <w:color w:val="auto"/>
                <w:kern w:val="0"/>
                <w:sz w:val="24"/>
                <w:szCs w:val="24"/>
                <w:lang w:val="en-US" w:eastAsia="zh-CN"/>
              </w:rPr>
              <w:t>KIS</w:t>
            </w:r>
          </w:p>
        </w:tc>
        <w:tc>
          <w:tcPr>
            <w:tcW w:w="2613" w:type="dxa"/>
            <w:tcBorders>
              <w:top w:val="single" w:color="auto" w:sz="4" w:space="0"/>
              <w:left w:val="nil"/>
              <w:bottom w:val="single" w:color="auto" w:sz="4" w:space="0"/>
              <w:right w:val="single" w:color="auto" w:sz="4" w:space="0"/>
            </w:tcBorders>
            <w:vAlign w:val="center"/>
          </w:tcPr>
          <w:p w14:paraId="6AF19876">
            <w:pPr>
              <w:widowControl/>
              <w:numPr>
                <w:ilvl w:val="0"/>
                <w:numId w:val="0"/>
              </w:numPr>
              <w:ind w:left="0" w:leftChars="0" w:firstLine="0" w:firstLineChars="0"/>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小微企业提供财务云、税务云、进销存云、生产云、零售云、电商云、订货云等</w:t>
            </w:r>
            <w:r>
              <w:rPr>
                <w:rFonts w:hint="default" w:ascii="仿宋_GB2312" w:hAnsi="仿宋_GB2312" w:eastAsia="仿宋_GB2312" w:cs="仿宋_GB2312"/>
                <w:color w:val="auto"/>
                <w:kern w:val="0"/>
                <w:sz w:val="24"/>
                <w:szCs w:val="24"/>
                <w:lang w:val="en-US" w:eastAsia="zh-CN"/>
              </w:rPr>
              <w:t>SaaS</w:t>
            </w:r>
            <w:r>
              <w:rPr>
                <w:rFonts w:hint="eastAsia" w:ascii="仿宋_GB2312" w:hAnsi="仿宋_GB2312" w:eastAsia="仿宋_GB2312" w:cs="仿宋_GB2312"/>
                <w:color w:val="auto"/>
                <w:kern w:val="0"/>
                <w:sz w:val="24"/>
                <w:szCs w:val="24"/>
                <w:lang w:val="en-US" w:eastAsia="zh-CN"/>
              </w:rPr>
              <w:t>服务</w:t>
            </w:r>
          </w:p>
        </w:tc>
        <w:tc>
          <w:tcPr>
            <w:tcW w:w="4092" w:type="dxa"/>
            <w:tcBorders>
              <w:top w:val="single" w:color="auto" w:sz="4" w:space="0"/>
              <w:left w:val="nil"/>
              <w:bottom w:val="single" w:color="auto" w:sz="4" w:space="0"/>
              <w:right w:val="single" w:color="auto" w:sz="4" w:space="0"/>
            </w:tcBorders>
            <w:shd w:val="clear" w:color="auto" w:fill="auto"/>
            <w:vAlign w:val="center"/>
          </w:tcPr>
          <w:p w14:paraId="7A5C2E65">
            <w:pPr>
              <w:widowControl/>
              <w:numPr>
                <w:ilvl w:val="0"/>
                <w:numId w:val="0"/>
              </w:numPr>
              <w:ind w:left="0" w:leftChars="0" w:firstLine="0" w:firstLineChars="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仿宋_GB2312" w:hAnsi="仿宋_GB2312" w:eastAsia="仿宋_GB2312" w:cs="仿宋_GB2312"/>
                <w:color w:val="auto"/>
                <w:kern w:val="0"/>
                <w:sz w:val="24"/>
                <w:szCs w:val="24"/>
                <w:lang w:val="en-US" w:eastAsia="zh-CN"/>
              </w:rPr>
              <w:t>财务云进销存云、生产制造云、</w:t>
            </w:r>
            <w:r>
              <w:rPr>
                <w:rFonts w:hint="default" w:ascii="仿宋_GB2312" w:hAnsi="仿宋_GB2312" w:eastAsia="仿宋_GB2312" w:cs="仿宋_GB2312"/>
                <w:color w:val="auto"/>
                <w:kern w:val="0"/>
                <w:sz w:val="24"/>
                <w:szCs w:val="24"/>
                <w:lang w:val="en-US" w:eastAsia="zh-CN"/>
              </w:rPr>
              <w:t>SaaS</w:t>
            </w:r>
            <w:r>
              <w:rPr>
                <w:rFonts w:hint="eastAsia" w:ascii="仿宋_GB2312" w:hAnsi="仿宋_GB2312" w:eastAsia="仿宋_GB2312" w:cs="仿宋_GB2312"/>
                <w:color w:val="auto"/>
                <w:kern w:val="0"/>
                <w:sz w:val="24"/>
                <w:szCs w:val="24"/>
                <w:lang w:val="en-US" w:eastAsia="zh-CN"/>
              </w:rPr>
              <w:t>服务</w:t>
            </w:r>
          </w:p>
        </w:tc>
        <w:tc>
          <w:tcPr>
            <w:tcW w:w="2043" w:type="dxa"/>
            <w:tcBorders>
              <w:top w:val="single" w:color="auto" w:sz="4" w:space="0"/>
              <w:left w:val="nil"/>
              <w:bottom w:val="single" w:color="auto" w:sz="4" w:space="0"/>
              <w:right w:val="single" w:color="auto" w:sz="4" w:space="0"/>
            </w:tcBorders>
            <w:shd w:val="clear" w:color="auto" w:fill="auto"/>
            <w:vAlign w:val="center"/>
          </w:tcPr>
          <w:p w14:paraId="2818BC91">
            <w:pPr>
              <w:widowControl/>
              <w:numPr>
                <w:ilvl w:val="0"/>
                <w:numId w:val="0"/>
              </w:numPr>
              <w:ind w:left="0" w:leftChars="0" w:firstLine="0" w:firstLineChars="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仿宋_GB2312" w:hAnsi="仿宋_GB2312" w:eastAsia="仿宋_GB2312" w:cs="仿宋_GB2312"/>
                <w:color w:val="auto"/>
                <w:kern w:val="0"/>
                <w:sz w:val="24"/>
                <w:szCs w:val="24"/>
                <w:lang w:val="en-US" w:eastAsia="zh-CN"/>
              </w:rPr>
              <w:t>1</w:t>
            </w:r>
            <w:r>
              <w:rPr>
                <w:rFonts w:hint="eastAsia" w:ascii="仿宋_GB2312" w:hAnsi="仿宋_GB2312" w:eastAsia="仿宋_GB2312" w:cs="仿宋_GB2312"/>
                <w:color w:val="auto"/>
                <w:kern w:val="0"/>
                <w:sz w:val="24"/>
                <w:szCs w:val="24"/>
                <w:lang w:val="en-US" w:eastAsia="zh-CN"/>
              </w:rPr>
              <w:t>万元</w:t>
            </w:r>
            <w:r>
              <w:rPr>
                <w:rFonts w:hint="default" w:ascii="仿宋_GB2312" w:hAnsi="仿宋_GB2312" w:eastAsia="仿宋_GB2312" w:cs="仿宋_GB2312"/>
                <w:color w:val="auto"/>
                <w:kern w:val="0"/>
                <w:sz w:val="24"/>
                <w:szCs w:val="24"/>
                <w:lang w:val="en-US" w:eastAsia="zh-CN"/>
              </w:rPr>
              <w:t>-10</w:t>
            </w:r>
            <w:r>
              <w:rPr>
                <w:rFonts w:hint="eastAsia" w:ascii="仿宋_GB2312" w:hAnsi="仿宋_GB2312" w:eastAsia="仿宋_GB2312" w:cs="仿宋_GB2312"/>
                <w:color w:val="auto"/>
                <w:kern w:val="0"/>
                <w:sz w:val="24"/>
                <w:szCs w:val="24"/>
                <w:lang w:val="en-US" w:eastAsia="zh-CN"/>
              </w:rPr>
              <w:t>万元</w:t>
            </w:r>
          </w:p>
        </w:tc>
        <w:tc>
          <w:tcPr>
            <w:tcW w:w="2850" w:type="dxa"/>
            <w:tcBorders>
              <w:top w:val="single" w:color="auto" w:sz="4" w:space="0"/>
              <w:left w:val="nil"/>
              <w:bottom w:val="single" w:color="auto" w:sz="4" w:space="0"/>
              <w:right w:val="single" w:color="auto" w:sz="4" w:space="0"/>
            </w:tcBorders>
            <w:vAlign w:val="center"/>
          </w:tcPr>
          <w:p w14:paraId="757ACBF2">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bl>
    <w:p w14:paraId="5FA3FA36">
      <w:pPr>
        <w:pStyle w:val="2"/>
        <w:rPr>
          <w:rFonts w:hint="eastAsia" w:ascii="仿宋_GB2312" w:hAnsi="仿宋_GB2312" w:eastAsia="仿宋_GB2312" w:cs="仿宋_GB2312"/>
          <w:bCs/>
          <w:sz w:val="32"/>
          <w:szCs w:val="32"/>
        </w:rPr>
      </w:pPr>
    </w:p>
    <w:p w14:paraId="2254B1F9">
      <w:pPr>
        <w:pStyle w:val="2"/>
        <w:rPr>
          <w:rFonts w:hint="eastAsia" w:ascii="仿宋_GB2312" w:hAnsi="仿宋_GB2312" w:eastAsia="仿宋_GB2312" w:cs="仿宋_GB2312"/>
          <w:bCs/>
          <w:sz w:val="32"/>
          <w:szCs w:val="32"/>
        </w:rPr>
      </w:pPr>
    </w:p>
    <w:p w14:paraId="585769BF">
      <w:pPr>
        <w:pStyle w:val="2"/>
        <w:rPr>
          <w:rFonts w:hint="eastAsia" w:ascii="仿宋_GB2312" w:hAnsi="仿宋_GB2312" w:eastAsia="仿宋_GB2312" w:cs="仿宋_GB2312"/>
          <w:bCs/>
          <w:sz w:val="32"/>
          <w:szCs w:val="32"/>
        </w:rPr>
      </w:pPr>
    </w:p>
    <w:p w14:paraId="11405736">
      <w:pPr>
        <w:pStyle w:val="2"/>
        <w:rPr>
          <w:rFonts w:hint="eastAsia" w:ascii="仿宋_GB2312" w:hAnsi="仿宋_GB2312" w:eastAsia="仿宋_GB2312" w:cs="仿宋_GB2312"/>
          <w:bCs/>
          <w:sz w:val="32"/>
          <w:szCs w:val="32"/>
        </w:rPr>
      </w:pPr>
    </w:p>
    <w:p w14:paraId="71005674">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w:t>
      </w:r>
      <w:r>
        <w:rPr>
          <w:rFonts w:hint="eastAsia" w:ascii="仿宋_GB2312" w:hAnsi="仿宋_GB2312" w:eastAsia="仿宋_GB2312" w:cs="仿宋_GB2312"/>
          <w:bCs/>
          <w:sz w:val="32"/>
          <w:szCs w:val="32"/>
          <w:lang w:val="en-US" w:eastAsia="zh-CN"/>
        </w:rPr>
        <w:t>三</w:t>
      </w:r>
      <w:r>
        <w:rPr>
          <w:rFonts w:hint="eastAsia" w:ascii="仿宋_GB2312" w:hAnsi="仿宋_GB2312" w:eastAsia="仿宋_GB2312" w:cs="仿宋_GB2312"/>
          <w:bCs/>
          <w:sz w:val="32"/>
          <w:szCs w:val="32"/>
        </w:rPr>
        <w:t>）联合体成员：广东数智云科技有限公司/广东腾一科技有限公司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715"/>
        <w:gridCol w:w="1602"/>
        <w:gridCol w:w="2613"/>
        <w:gridCol w:w="4401"/>
        <w:gridCol w:w="2204"/>
        <w:gridCol w:w="2380"/>
      </w:tblGrid>
      <w:tr w14:paraId="0FE0E7B4">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3A5E273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602" w:type="dxa"/>
            <w:tcBorders>
              <w:top w:val="single" w:color="auto" w:sz="4" w:space="0"/>
              <w:left w:val="nil"/>
              <w:bottom w:val="single" w:color="auto" w:sz="4" w:space="0"/>
              <w:right w:val="single" w:color="auto" w:sz="4" w:space="0"/>
            </w:tcBorders>
            <w:vAlign w:val="center"/>
          </w:tcPr>
          <w:p w14:paraId="5B71B9F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613" w:type="dxa"/>
            <w:tcBorders>
              <w:top w:val="single" w:color="auto" w:sz="4" w:space="0"/>
              <w:left w:val="nil"/>
              <w:bottom w:val="single" w:color="auto" w:sz="4" w:space="0"/>
              <w:right w:val="single" w:color="auto" w:sz="4" w:space="0"/>
            </w:tcBorders>
            <w:vAlign w:val="center"/>
          </w:tcPr>
          <w:p w14:paraId="1D06F71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401" w:type="dxa"/>
            <w:tcBorders>
              <w:top w:val="single" w:color="auto" w:sz="4" w:space="0"/>
              <w:left w:val="nil"/>
              <w:bottom w:val="single" w:color="auto" w:sz="4" w:space="0"/>
              <w:right w:val="single" w:color="auto" w:sz="4" w:space="0"/>
            </w:tcBorders>
            <w:vAlign w:val="center"/>
          </w:tcPr>
          <w:p w14:paraId="63C6B40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204" w:type="dxa"/>
            <w:tcBorders>
              <w:top w:val="single" w:color="auto" w:sz="4" w:space="0"/>
              <w:left w:val="nil"/>
              <w:bottom w:val="single" w:color="auto" w:sz="4" w:space="0"/>
              <w:right w:val="single" w:color="auto" w:sz="4" w:space="0"/>
            </w:tcBorders>
            <w:vAlign w:val="center"/>
          </w:tcPr>
          <w:p w14:paraId="3885351B">
            <w:pPr>
              <w:widowControl/>
              <w:ind w:firstLine="241" w:firstLineChars="100"/>
              <w:jc w:val="both"/>
              <w:rPr>
                <w:rFonts w:hint="eastAsia" w:ascii="仿宋_GB2312" w:hAnsi="等线" w:eastAsia="仿宋_GB2312" w:cs="宋体"/>
                <w:b/>
                <w:bCs/>
                <w:kern w:val="0"/>
                <w:sz w:val="24"/>
                <w:szCs w:val="24"/>
                <w:lang w:eastAsia="zh-CN"/>
              </w:rPr>
            </w:pPr>
            <w:r>
              <w:rPr>
                <w:rFonts w:hint="eastAsia" w:ascii="仿宋_GB2312" w:hAnsi="等线" w:eastAsia="仿宋_GB2312" w:cs="宋体"/>
                <w:b/>
                <w:bCs/>
                <w:kern w:val="0"/>
                <w:sz w:val="24"/>
                <w:szCs w:val="24"/>
                <w:lang w:eastAsia="zh-Hans"/>
              </w:rPr>
              <w:t>产品价格</w:t>
            </w:r>
          </w:p>
        </w:tc>
        <w:tc>
          <w:tcPr>
            <w:tcW w:w="2380" w:type="dxa"/>
            <w:tcBorders>
              <w:top w:val="single" w:color="auto" w:sz="4" w:space="0"/>
              <w:left w:val="nil"/>
              <w:bottom w:val="single" w:color="auto" w:sz="4" w:space="0"/>
              <w:right w:val="single" w:color="auto" w:sz="4" w:space="0"/>
            </w:tcBorders>
            <w:vAlign w:val="center"/>
          </w:tcPr>
          <w:p w14:paraId="7010B3B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2FD43DA6">
        <w:tblPrEx>
          <w:tblCellMar>
            <w:top w:w="0" w:type="dxa"/>
            <w:left w:w="108" w:type="dxa"/>
            <w:bottom w:w="0" w:type="dxa"/>
            <w:right w:w="108" w:type="dxa"/>
          </w:tblCellMar>
        </w:tblPrEx>
        <w:trPr>
          <w:trHeight w:val="1159" w:hRule="atLeast"/>
        </w:trPr>
        <w:tc>
          <w:tcPr>
            <w:tcW w:w="715" w:type="dxa"/>
            <w:tcBorders>
              <w:top w:val="single" w:color="auto" w:sz="4" w:space="0"/>
              <w:left w:val="single" w:color="auto" w:sz="4" w:space="0"/>
              <w:bottom w:val="single" w:color="auto" w:sz="4" w:space="0"/>
              <w:right w:val="single" w:color="auto" w:sz="4" w:space="0"/>
            </w:tcBorders>
            <w:vAlign w:val="center"/>
          </w:tcPr>
          <w:p w14:paraId="6293265B">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1</w:t>
            </w:r>
          </w:p>
        </w:tc>
        <w:tc>
          <w:tcPr>
            <w:tcW w:w="1602" w:type="dxa"/>
            <w:tcBorders>
              <w:top w:val="single" w:color="auto" w:sz="4" w:space="0"/>
              <w:left w:val="nil"/>
              <w:bottom w:val="single" w:color="auto" w:sz="4" w:space="0"/>
              <w:right w:val="single" w:color="auto" w:sz="4" w:space="0"/>
            </w:tcBorders>
            <w:vAlign w:val="center"/>
          </w:tcPr>
          <w:p w14:paraId="4E1B92D5">
            <w:pPr>
              <w:widowControl/>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M</w:t>
            </w:r>
            <w:r>
              <w:rPr>
                <w:rFonts w:hint="eastAsia" w:ascii="仿宋_GB2312" w:hAnsi="仿宋_GB2312" w:eastAsia="仿宋_GB2312" w:cs="仿宋_GB2312"/>
                <w:color w:val="auto"/>
                <w:kern w:val="0"/>
                <w:sz w:val="24"/>
                <w:szCs w:val="24"/>
              </w:rPr>
              <w:t>ES生产执行管理系统V6.8</w:t>
            </w:r>
          </w:p>
        </w:tc>
        <w:tc>
          <w:tcPr>
            <w:tcW w:w="2613" w:type="dxa"/>
            <w:tcBorders>
              <w:top w:val="single" w:color="auto" w:sz="4" w:space="0"/>
              <w:left w:val="nil"/>
              <w:bottom w:val="single" w:color="auto" w:sz="4" w:space="0"/>
              <w:right w:val="single" w:color="auto" w:sz="4" w:space="0"/>
            </w:tcBorders>
            <w:vAlign w:val="center"/>
          </w:tcPr>
          <w:p w14:paraId="69BE49A6">
            <w:pPr>
              <w:widowControl/>
              <w:ind w:right="-154" w:rightChars="-55"/>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生产计划、条码应用、生产管理、质量管理、安灯管理、设备管理、设备联机、追溯管理、报表分析、电子看板、标准API接口</w:t>
            </w:r>
          </w:p>
        </w:tc>
        <w:tc>
          <w:tcPr>
            <w:tcW w:w="4401" w:type="dxa"/>
            <w:tcBorders>
              <w:top w:val="single" w:color="auto" w:sz="4" w:space="0"/>
              <w:left w:val="nil"/>
              <w:bottom w:val="single" w:color="auto" w:sz="4" w:space="0"/>
              <w:right w:val="single" w:color="auto" w:sz="4" w:space="0"/>
            </w:tcBorders>
            <w:vAlign w:val="center"/>
          </w:tcPr>
          <w:p w14:paraId="072485CB">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系统通过产前确认来控制设备与产线的启动，生产过程安灯控制设备产线暂恢复；通过设备对接进行参数上传下发及反控设备，能源管控；通过品质检测模版配置在线检测后自动生成检测单据存档追溯或上传打印出货检测报告给客户；</w:t>
            </w:r>
          </w:p>
        </w:tc>
        <w:tc>
          <w:tcPr>
            <w:tcW w:w="2204" w:type="dxa"/>
            <w:tcBorders>
              <w:top w:val="single" w:color="auto" w:sz="4" w:space="0"/>
              <w:left w:val="nil"/>
              <w:bottom w:val="single" w:color="auto" w:sz="4" w:space="0"/>
              <w:right w:val="single" w:color="auto" w:sz="4" w:space="0"/>
            </w:tcBorders>
            <w:vAlign w:val="center"/>
          </w:tcPr>
          <w:p w14:paraId="2321A7AA">
            <w:pPr>
              <w:widowControl/>
              <w:ind w:right="-171" w:rightChars="-61"/>
              <w:jc w:val="center"/>
              <w:textAlignment w:val="center"/>
              <w:rPr>
                <w:rFonts w:hint="default"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rPr>
              <w:t>29.8</w:t>
            </w:r>
            <w:r>
              <w:rPr>
                <w:rFonts w:hint="eastAsia" w:ascii="仿宋_GB2312" w:hAnsi="仿宋_GB2312" w:eastAsia="仿宋_GB2312" w:cs="仿宋_GB2312"/>
                <w:color w:val="auto"/>
                <w:kern w:val="0"/>
                <w:sz w:val="24"/>
                <w:szCs w:val="24"/>
                <w:lang w:val="en-US" w:eastAsia="zh-CN"/>
              </w:rPr>
              <w:t>万元</w:t>
            </w:r>
            <w:r>
              <w:rPr>
                <w:rFonts w:hint="eastAsia" w:ascii="仿宋_GB2312" w:hAnsi="仿宋_GB2312" w:eastAsia="仿宋_GB2312" w:cs="仿宋_GB2312"/>
                <w:color w:val="auto"/>
                <w:kern w:val="0"/>
                <w:sz w:val="24"/>
                <w:szCs w:val="24"/>
              </w:rPr>
              <w:t>-52</w:t>
            </w:r>
            <w:r>
              <w:rPr>
                <w:rFonts w:hint="eastAsia" w:ascii="仿宋_GB2312" w:hAnsi="仿宋_GB2312" w:eastAsia="仿宋_GB2312" w:cs="仿宋_GB2312"/>
                <w:color w:val="auto"/>
                <w:kern w:val="0"/>
                <w:sz w:val="24"/>
                <w:szCs w:val="24"/>
                <w:lang w:val="en-US" w:eastAsia="zh-CN"/>
              </w:rPr>
              <w:t>万元/套</w:t>
            </w:r>
          </w:p>
        </w:tc>
        <w:tc>
          <w:tcPr>
            <w:tcW w:w="2380" w:type="dxa"/>
            <w:tcBorders>
              <w:top w:val="single" w:color="auto" w:sz="4" w:space="0"/>
              <w:left w:val="nil"/>
              <w:bottom w:val="single" w:color="auto" w:sz="4" w:space="0"/>
              <w:right w:val="single" w:color="auto" w:sz="4" w:space="0"/>
            </w:tcBorders>
            <w:vAlign w:val="center"/>
          </w:tcPr>
          <w:p w14:paraId="06896ADA">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084CE838">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3E9B2F27">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2</w:t>
            </w:r>
          </w:p>
        </w:tc>
        <w:tc>
          <w:tcPr>
            <w:tcW w:w="1602" w:type="dxa"/>
            <w:tcBorders>
              <w:top w:val="single" w:color="auto" w:sz="4" w:space="0"/>
              <w:left w:val="nil"/>
              <w:bottom w:val="single" w:color="auto" w:sz="4" w:space="0"/>
              <w:right w:val="single" w:color="auto" w:sz="4" w:space="0"/>
            </w:tcBorders>
            <w:vAlign w:val="center"/>
          </w:tcPr>
          <w:p w14:paraId="3D2D4995">
            <w:pPr>
              <w:widowControl/>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WMS仓储智能管理系统V7.0</w:t>
            </w:r>
          </w:p>
        </w:tc>
        <w:tc>
          <w:tcPr>
            <w:tcW w:w="2613" w:type="dxa"/>
            <w:tcBorders>
              <w:top w:val="single" w:color="auto" w:sz="4" w:space="0"/>
              <w:left w:val="nil"/>
              <w:bottom w:val="single" w:color="auto" w:sz="4" w:space="0"/>
              <w:right w:val="single" w:color="auto" w:sz="4" w:space="0"/>
            </w:tcBorders>
            <w:vAlign w:val="center"/>
          </w:tcPr>
          <w:p w14:paraId="3792FF08">
            <w:pPr>
              <w:widowControl/>
              <w:ind w:right="-154" w:rightChars="-55"/>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条码库位管理、物料条码定位管理、出入库管理、库内管理、调拨管理、外协管理、品质管理、看板报表管理</w:t>
            </w:r>
          </w:p>
        </w:tc>
        <w:tc>
          <w:tcPr>
            <w:tcW w:w="4401" w:type="dxa"/>
            <w:tcBorders>
              <w:top w:val="single" w:color="auto" w:sz="4" w:space="0"/>
              <w:left w:val="nil"/>
              <w:bottom w:val="single" w:color="auto" w:sz="4" w:space="0"/>
              <w:right w:val="single" w:color="auto" w:sz="4" w:space="0"/>
            </w:tcBorders>
            <w:vAlign w:val="center"/>
          </w:tcPr>
          <w:p w14:paraId="7A784503">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库位策略、批次策略、上架策略、拣选策略、盘点策略多策略配置以条码为载体通过扫码系统快速处理仓库作业；来料检验AQL标准配置自动显示检验方案，按平板图纸在线查看检验及记录；不良品处理审批流配置自动发起流程在线审批形成标准化作业</w:t>
            </w:r>
          </w:p>
        </w:tc>
        <w:tc>
          <w:tcPr>
            <w:tcW w:w="2204" w:type="dxa"/>
            <w:tcBorders>
              <w:top w:val="single" w:color="auto" w:sz="4" w:space="0"/>
              <w:left w:val="nil"/>
              <w:bottom w:val="single" w:color="auto" w:sz="4" w:space="0"/>
              <w:right w:val="single" w:color="auto" w:sz="4" w:space="0"/>
            </w:tcBorders>
            <w:vAlign w:val="center"/>
          </w:tcPr>
          <w:p w14:paraId="399B4D3C">
            <w:pPr>
              <w:widowControl/>
              <w:ind w:right="-171" w:rightChars="-61"/>
              <w:jc w:val="center"/>
              <w:textAlignment w:val="center"/>
              <w:rPr>
                <w:rFonts w:hint="default"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kern w:val="0"/>
                <w:sz w:val="24"/>
                <w:szCs w:val="24"/>
              </w:rPr>
              <w:t>18</w:t>
            </w:r>
            <w:r>
              <w:rPr>
                <w:rFonts w:hint="eastAsia" w:ascii="仿宋_GB2312" w:hAnsi="仿宋_GB2312" w:eastAsia="仿宋_GB2312" w:cs="仿宋_GB2312"/>
                <w:color w:val="auto"/>
                <w:kern w:val="0"/>
                <w:sz w:val="24"/>
                <w:szCs w:val="24"/>
                <w:lang w:val="en-US" w:eastAsia="zh-CN"/>
              </w:rPr>
              <w:t>万元</w:t>
            </w:r>
            <w:r>
              <w:rPr>
                <w:rFonts w:hint="eastAsia" w:ascii="仿宋_GB2312" w:hAnsi="仿宋_GB2312" w:eastAsia="仿宋_GB2312" w:cs="仿宋_GB2312"/>
                <w:color w:val="auto"/>
                <w:kern w:val="0"/>
                <w:sz w:val="24"/>
                <w:szCs w:val="24"/>
              </w:rPr>
              <w:t>-25</w:t>
            </w:r>
            <w:r>
              <w:rPr>
                <w:rFonts w:hint="eastAsia" w:ascii="仿宋_GB2312" w:hAnsi="仿宋_GB2312" w:eastAsia="仿宋_GB2312" w:cs="仿宋_GB2312"/>
                <w:color w:val="auto"/>
                <w:kern w:val="0"/>
                <w:sz w:val="24"/>
                <w:szCs w:val="24"/>
                <w:lang w:val="en-US" w:eastAsia="zh-CN"/>
              </w:rPr>
              <w:t>万元/套</w:t>
            </w:r>
          </w:p>
        </w:tc>
        <w:tc>
          <w:tcPr>
            <w:tcW w:w="2380" w:type="dxa"/>
            <w:tcBorders>
              <w:top w:val="single" w:color="auto" w:sz="4" w:space="0"/>
              <w:left w:val="nil"/>
              <w:bottom w:val="single" w:color="auto" w:sz="4" w:space="0"/>
              <w:right w:val="single" w:color="auto" w:sz="4" w:space="0"/>
            </w:tcBorders>
            <w:vAlign w:val="center"/>
          </w:tcPr>
          <w:p w14:paraId="13118F7B">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6AFF426B">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40847053">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3</w:t>
            </w:r>
          </w:p>
        </w:tc>
        <w:tc>
          <w:tcPr>
            <w:tcW w:w="1602" w:type="dxa"/>
            <w:tcBorders>
              <w:top w:val="single" w:color="auto" w:sz="4" w:space="0"/>
              <w:left w:val="nil"/>
              <w:bottom w:val="single" w:color="auto" w:sz="4" w:space="0"/>
              <w:right w:val="single" w:color="auto" w:sz="4" w:space="0"/>
            </w:tcBorders>
            <w:vAlign w:val="center"/>
          </w:tcPr>
          <w:p w14:paraId="18BEA2B7">
            <w:pPr>
              <w:widowControl/>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DCM设备数据采集管理系统V6.8</w:t>
            </w:r>
          </w:p>
        </w:tc>
        <w:tc>
          <w:tcPr>
            <w:tcW w:w="2613" w:type="dxa"/>
            <w:tcBorders>
              <w:top w:val="single" w:color="auto" w:sz="4" w:space="0"/>
              <w:left w:val="nil"/>
              <w:bottom w:val="single" w:color="auto" w:sz="4" w:space="0"/>
              <w:right w:val="single" w:color="auto" w:sz="4" w:space="0"/>
            </w:tcBorders>
            <w:vAlign w:val="center"/>
          </w:tcPr>
          <w:p w14:paraId="5B304ACF">
            <w:pPr>
              <w:widowControl/>
              <w:ind w:right="-154" w:rightChars="-55"/>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1、系统管理；2、设备管理；3、设备状态；4、通讯配置；5、变量配置；6、传输配置；7、统计分析；8、数据管理；9、数据接口</w:t>
            </w:r>
          </w:p>
        </w:tc>
        <w:tc>
          <w:tcPr>
            <w:tcW w:w="4401" w:type="dxa"/>
            <w:tcBorders>
              <w:top w:val="single" w:color="auto" w:sz="4" w:space="0"/>
              <w:left w:val="nil"/>
              <w:bottom w:val="single" w:color="auto" w:sz="4" w:space="0"/>
              <w:right w:val="single" w:color="auto" w:sz="4" w:space="0"/>
            </w:tcBorders>
            <w:vAlign w:val="center"/>
          </w:tcPr>
          <w:p w14:paraId="04A85762">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自制专利I/O模组；</w:t>
            </w:r>
          </w:p>
          <w:p w14:paraId="5E3FC7BA">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支持多种设备数据协议，主要采集能源管理、生产设备数据。</w:t>
            </w:r>
          </w:p>
          <w:p w14:paraId="0CBAE0E9">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常用数据存储方式支持。</w:t>
            </w:r>
          </w:p>
          <w:p w14:paraId="46C87FAA">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通用接口与MES、TPM等系统集成</w:t>
            </w:r>
          </w:p>
        </w:tc>
        <w:tc>
          <w:tcPr>
            <w:tcW w:w="2204" w:type="dxa"/>
            <w:tcBorders>
              <w:top w:val="single" w:color="auto" w:sz="4" w:space="0"/>
              <w:left w:val="nil"/>
              <w:bottom w:val="single" w:color="auto" w:sz="4" w:space="0"/>
              <w:right w:val="single" w:color="auto" w:sz="4" w:space="0"/>
            </w:tcBorders>
            <w:vAlign w:val="center"/>
          </w:tcPr>
          <w:p w14:paraId="3920E636">
            <w:pPr>
              <w:widowControl/>
              <w:ind w:right="-171" w:rightChars="-61"/>
              <w:jc w:val="center"/>
              <w:textAlignment w:val="center"/>
              <w:rPr>
                <w:rFonts w:hint="default"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kern w:val="0"/>
                <w:sz w:val="24"/>
                <w:szCs w:val="24"/>
              </w:rPr>
              <w:t>17</w:t>
            </w:r>
            <w:r>
              <w:rPr>
                <w:rFonts w:hint="eastAsia" w:ascii="仿宋_GB2312" w:hAnsi="仿宋_GB2312" w:eastAsia="仿宋_GB2312" w:cs="仿宋_GB2312"/>
                <w:color w:val="auto"/>
                <w:kern w:val="0"/>
                <w:sz w:val="24"/>
                <w:szCs w:val="24"/>
                <w:lang w:val="en-US" w:eastAsia="zh-CN"/>
              </w:rPr>
              <w:t>万元</w:t>
            </w:r>
            <w:r>
              <w:rPr>
                <w:rFonts w:hint="eastAsia" w:ascii="仿宋_GB2312" w:hAnsi="仿宋_GB2312" w:eastAsia="仿宋_GB2312" w:cs="仿宋_GB2312"/>
                <w:color w:val="auto"/>
                <w:kern w:val="0"/>
                <w:sz w:val="24"/>
                <w:szCs w:val="24"/>
              </w:rPr>
              <w:t>-25</w:t>
            </w:r>
            <w:r>
              <w:rPr>
                <w:rFonts w:hint="eastAsia" w:ascii="仿宋_GB2312" w:hAnsi="仿宋_GB2312" w:eastAsia="仿宋_GB2312" w:cs="仿宋_GB2312"/>
                <w:color w:val="auto"/>
                <w:kern w:val="0"/>
                <w:sz w:val="24"/>
                <w:szCs w:val="24"/>
                <w:lang w:val="en-US" w:eastAsia="zh-CN"/>
              </w:rPr>
              <w:t>万元/套</w:t>
            </w:r>
          </w:p>
        </w:tc>
        <w:tc>
          <w:tcPr>
            <w:tcW w:w="2380" w:type="dxa"/>
            <w:tcBorders>
              <w:top w:val="single" w:color="auto" w:sz="4" w:space="0"/>
              <w:left w:val="nil"/>
              <w:bottom w:val="single" w:color="auto" w:sz="4" w:space="0"/>
              <w:right w:val="single" w:color="auto" w:sz="4" w:space="0"/>
            </w:tcBorders>
            <w:vAlign w:val="center"/>
          </w:tcPr>
          <w:p w14:paraId="6729F904">
            <w:pPr>
              <w:rPr>
                <w:rFonts w:hint="eastAsia"/>
                <w:color w:val="auto"/>
              </w:rPr>
            </w:pPr>
            <w:r>
              <w:rPr>
                <w:rFonts w:hint="eastAsia" w:ascii="仿宋_GB2312" w:hAnsi="仿宋_GB2312" w:eastAsia="仿宋_GB2312" w:cs="仿宋_GB2312"/>
                <w:color w:val="auto"/>
                <w:kern w:val="0"/>
                <w:sz w:val="24"/>
                <w:szCs w:val="24"/>
                <w:lang w:val="en-US" w:eastAsia="zh-CN"/>
              </w:rPr>
              <w:t>新增</w:t>
            </w:r>
          </w:p>
        </w:tc>
      </w:tr>
      <w:tr w14:paraId="1296D2D7">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5E6863FE">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4</w:t>
            </w:r>
          </w:p>
        </w:tc>
        <w:tc>
          <w:tcPr>
            <w:tcW w:w="1602" w:type="dxa"/>
            <w:tcBorders>
              <w:top w:val="single" w:color="auto" w:sz="4" w:space="0"/>
              <w:left w:val="nil"/>
              <w:bottom w:val="single" w:color="auto" w:sz="4" w:space="0"/>
              <w:right w:val="single" w:color="auto" w:sz="4" w:space="0"/>
            </w:tcBorders>
            <w:vAlign w:val="center"/>
          </w:tcPr>
          <w:p w14:paraId="074F33A9">
            <w:pPr>
              <w:widowControl/>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Q-CRM客户关系管理系统V2.1</w:t>
            </w:r>
          </w:p>
        </w:tc>
        <w:tc>
          <w:tcPr>
            <w:tcW w:w="2613" w:type="dxa"/>
            <w:tcBorders>
              <w:top w:val="single" w:color="auto" w:sz="4" w:space="0"/>
              <w:left w:val="nil"/>
              <w:bottom w:val="single" w:color="auto" w:sz="4" w:space="0"/>
              <w:right w:val="single" w:color="auto" w:sz="4" w:space="0"/>
            </w:tcBorders>
            <w:vAlign w:val="center"/>
          </w:tcPr>
          <w:p w14:paraId="4BDB97A7">
            <w:pPr>
              <w:widowControl/>
              <w:ind w:right="-154" w:rightChars="-55"/>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将 “客户需求” 与 “生产制造” 深度绑定，通过数据打通销售、生产、售后全链条，既满足 B2B 客户的长周期合作需求，又通过设备维护、供应链协同等场景提升复购与服务收益</w:t>
            </w:r>
          </w:p>
        </w:tc>
        <w:tc>
          <w:tcPr>
            <w:tcW w:w="4401" w:type="dxa"/>
            <w:tcBorders>
              <w:top w:val="single" w:color="auto" w:sz="4" w:space="0"/>
              <w:left w:val="nil"/>
              <w:bottom w:val="single" w:color="auto" w:sz="4" w:space="0"/>
              <w:right w:val="single" w:color="auto" w:sz="4" w:space="0"/>
            </w:tcBorders>
            <w:vAlign w:val="center"/>
          </w:tcPr>
          <w:p w14:paraId="6CA8A23C">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将 “客户需求” 与 “生产制造” 深度绑定，通过数据打通销售、生产、售后全链条，既满足 B2B 客户的长周期合作需求，又通过设备维护、供应链协同等场景提升复购与服务收益</w:t>
            </w:r>
          </w:p>
        </w:tc>
        <w:tc>
          <w:tcPr>
            <w:tcW w:w="2204" w:type="dxa"/>
            <w:tcBorders>
              <w:top w:val="single" w:color="auto" w:sz="4" w:space="0"/>
              <w:left w:val="nil"/>
              <w:bottom w:val="single" w:color="auto" w:sz="4" w:space="0"/>
              <w:right w:val="single" w:color="auto" w:sz="4" w:space="0"/>
            </w:tcBorders>
            <w:vAlign w:val="center"/>
          </w:tcPr>
          <w:p w14:paraId="3078C0AD">
            <w:pPr>
              <w:widowControl/>
              <w:ind w:right="-171" w:rightChars="-61"/>
              <w:jc w:val="center"/>
              <w:textAlignment w:val="center"/>
              <w:rPr>
                <w:rFonts w:hint="default"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kern w:val="0"/>
                <w:sz w:val="24"/>
                <w:szCs w:val="24"/>
              </w:rPr>
              <w:t>15</w:t>
            </w:r>
            <w:r>
              <w:rPr>
                <w:rFonts w:hint="eastAsia" w:ascii="仿宋_GB2312" w:hAnsi="仿宋_GB2312" w:eastAsia="仿宋_GB2312" w:cs="仿宋_GB2312"/>
                <w:color w:val="auto"/>
                <w:kern w:val="0"/>
                <w:sz w:val="24"/>
                <w:szCs w:val="24"/>
                <w:lang w:val="en-US" w:eastAsia="zh-CN"/>
              </w:rPr>
              <w:t>万元</w:t>
            </w:r>
            <w:r>
              <w:rPr>
                <w:rFonts w:hint="eastAsia" w:ascii="仿宋_GB2312" w:hAnsi="仿宋_GB2312" w:eastAsia="仿宋_GB2312" w:cs="仿宋_GB2312"/>
                <w:color w:val="auto"/>
                <w:kern w:val="0"/>
                <w:sz w:val="24"/>
                <w:szCs w:val="24"/>
              </w:rPr>
              <w:t>-25</w:t>
            </w:r>
            <w:r>
              <w:rPr>
                <w:rFonts w:hint="eastAsia" w:ascii="仿宋_GB2312" w:hAnsi="仿宋_GB2312" w:eastAsia="仿宋_GB2312" w:cs="仿宋_GB2312"/>
                <w:color w:val="auto"/>
                <w:kern w:val="0"/>
                <w:sz w:val="24"/>
                <w:szCs w:val="24"/>
                <w:lang w:val="en-US" w:eastAsia="zh-CN"/>
              </w:rPr>
              <w:t>万元/套</w:t>
            </w:r>
          </w:p>
        </w:tc>
        <w:tc>
          <w:tcPr>
            <w:tcW w:w="2380" w:type="dxa"/>
            <w:tcBorders>
              <w:top w:val="single" w:color="auto" w:sz="4" w:space="0"/>
              <w:left w:val="nil"/>
              <w:bottom w:val="single" w:color="auto" w:sz="4" w:space="0"/>
              <w:right w:val="single" w:color="auto" w:sz="4" w:space="0"/>
            </w:tcBorders>
            <w:vAlign w:val="center"/>
          </w:tcPr>
          <w:p w14:paraId="42DCF96F">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660912C5">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19A8200D">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5</w:t>
            </w:r>
          </w:p>
        </w:tc>
        <w:tc>
          <w:tcPr>
            <w:tcW w:w="1602" w:type="dxa"/>
            <w:tcBorders>
              <w:top w:val="single" w:color="auto" w:sz="4" w:space="0"/>
              <w:left w:val="nil"/>
              <w:bottom w:val="single" w:color="auto" w:sz="4" w:space="0"/>
              <w:right w:val="single" w:color="auto" w:sz="4" w:space="0"/>
            </w:tcBorders>
            <w:vAlign w:val="center"/>
          </w:tcPr>
          <w:p w14:paraId="4DE372C8">
            <w:pPr>
              <w:widowControl/>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数智云科RBO实时经营管理系统V2.8</w:t>
            </w:r>
          </w:p>
        </w:tc>
        <w:tc>
          <w:tcPr>
            <w:tcW w:w="2613" w:type="dxa"/>
            <w:tcBorders>
              <w:top w:val="single" w:color="auto" w:sz="4" w:space="0"/>
              <w:left w:val="nil"/>
              <w:bottom w:val="single" w:color="auto" w:sz="4" w:space="0"/>
              <w:right w:val="single" w:color="auto" w:sz="4" w:space="0"/>
            </w:tcBorders>
            <w:vAlign w:val="center"/>
          </w:tcPr>
          <w:p w14:paraId="008B9057">
            <w:pPr>
              <w:widowControl/>
              <w:ind w:right="-154" w:rightChars="-55"/>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阿米巴组织架构管理模块、独立核算与成本管理模块、预算与目标管理模块、内部交易与定价管理模块、绩效评估与激励模块、数据报表与可视化分析模块</w:t>
            </w:r>
          </w:p>
        </w:tc>
        <w:tc>
          <w:tcPr>
            <w:tcW w:w="4401" w:type="dxa"/>
            <w:tcBorders>
              <w:top w:val="single" w:color="auto" w:sz="4" w:space="0"/>
              <w:left w:val="nil"/>
              <w:bottom w:val="single" w:color="auto" w:sz="4" w:space="0"/>
              <w:right w:val="single" w:color="auto" w:sz="4" w:space="0"/>
            </w:tcBorders>
            <w:vAlign w:val="center"/>
          </w:tcPr>
          <w:p w14:paraId="59D5C0C2">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通过 “组织拆分 - 独立核算 - 内部市场化” 实现全员参与经营，其功能模块紧密围绕稻盛和夫的经营哲学设计，而服务内容则强调 “咨询 + 软件” 的一体化落地 —— 不仅提供工具，更协助企业从组织架构、核算规则到激励机制完成系统性变革，适用于追求精细化管理、希望激活基层活力的企业。</w:t>
            </w:r>
          </w:p>
        </w:tc>
        <w:tc>
          <w:tcPr>
            <w:tcW w:w="2204" w:type="dxa"/>
            <w:tcBorders>
              <w:top w:val="single" w:color="auto" w:sz="4" w:space="0"/>
              <w:left w:val="nil"/>
              <w:bottom w:val="single" w:color="auto" w:sz="4" w:space="0"/>
              <w:right w:val="single" w:color="auto" w:sz="4" w:space="0"/>
            </w:tcBorders>
            <w:vAlign w:val="center"/>
          </w:tcPr>
          <w:p w14:paraId="44EFF3B6">
            <w:pPr>
              <w:widowControl/>
              <w:ind w:right="-171" w:rightChars="-61"/>
              <w:jc w:val="center"/>
              <w:textAlignment w:val="center"/>
              <w:rPr>
                <w:rFonts w:hint="default"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kern w:val="0"/>
                <w:sz w:val="24"/>
                <w:szCs w:val="24"/>
              </w:rPr>
              <w:t>15</w:t>
            </w:r>
            <w:r>
              <w:rPr>
                <w:rFonts w:hint="eastAsia" w:ascii="仿宋_GB2312" w:hAnsi="仿宋_GB2312" w:eastAsia="仿宋_GB2312" w:cs="仿宋_GB2312"/>
                <w:color w:val="auto"/>
                <w:kern w:val="0"/>
                <w:sz w:val="24"/>
                <w:szCs w:val="24"/>
                <w:lang w:val="en-US" w:eastAsia="zh-CN"/>
              </w:rPr>
              <w:t>万元</w:t>
            </w:r>
            <w:r>
              <w:rPr>
                <w:rFonts w:hint="eastAsia" w:ascii="仿宋_GB2312" w:hAnsi="仿宋_GB2312" w:eastAsia="仿宋_GB2312" w:cs="仿宋_GB2312"/>
                <w:color w:val="auto"/>
                <w:kern w:val="0"/>
                <w:sz w:val="24"/>
                <w:szCs w:val="24"/>
              </w:rPr>
              <w:t>-30</w:t>
            </w:r>
            <w:r>
              <w:rPr>
                <w:rFonts w:hint="eastAsia" w:ascii="仿宋_GB2312" w:hAnsi="仿宋_GB2312" w:eastAsia="仿宋_GB2312" w:cs="仿宋_GB2312"/>
                <w:color w:val="auto"/>
                <w:kern w:val="0"/>
                <w:sz w:val="24"/>
                <w:szCs w:val="24"/>
                <w:lang w:val="en-US" w:eastAsia="zh-CN"/>
              </w:rPr>
              <w:t>万元/套</w:t>
            </w:r>
          </w:p>
        </w:tc>
        <w:tc>
          <w:tcPr>
            <w:tcW w:w="2380" w:type="dxa"/>
            <w:tcBorders>
              <w:top w:val="single" w:color="auto" w:sz="4" w:space="0"/>
              <w:left w:val="nil"/>
              <w:bottom w:val="single" w:color="auto" w:sz="4" w:space="0"/>
              <w:right w:val="single" w:color="auto" w:sz="4" w:space="0"/>
            </w:tcBorders>
            <w:vAlign w:val="center"/>
          </w:tcPr>
          <w:p w14:paraId="1907D475">
            <w:pPr>
              <w:rPr>
                <w:rFonts w:hint="eastAsia"/>
                <w:color w:val="auto"/>
              </w:rPr>
            </w:pPr>
            <w:r>
              <w:rPr>
                <w:rFonts w:hint="eastAsia" w:ascii="仿宋_GB2312" w:hAnsi="仿宋_GB2312" w:eastAsia="仿宋_GB2312" w:cs="仿宋_GB2312"/>
                <w:color w:val="auto"/>
                <w:kern w:val="0"/>
                <w:sz w:val="24"/>
                <w:szCs w:val="24"/>
                <w:lang w:val="en-US" w:eastAsia="zh-CN"/>
              </w:rPr>
              <w:t>新增</w:t>
            </w:r>
          </w:p>
        </w:tc>
      </w:tr>
      <w:tr w14:paraId="05C19B8C">
        <w:tblPrEx>
          <w:tblCellMar>
            <w:top w:w="0" w:type="dxa"/>
            <w:left w:w="108" w:type="dxa"/>
            <w:bottom w:w="0" w:type="dxa"/>
            <w:right w:w="108" w:type="dxa"/>
          </w:tblCellMar>
        </w:tblPrEx>
        <w:trPr>
          <w:trHeight w:val="1074" w:hRule="atLeast"/>
        </w:trPr>
        <w:tc>
          <w:tcPr>
            <w:tcW w:w="715" w:type="dxa"/>
            <w:tcBorders>
              <w:top w:val="single" w:color="auto" w:sz="4" w:space="0"/>
              <w:left w:val="single" w:color="auto" w:sz="4" w:space="0"/>
              <w:bottom w:val="single" w:color="auto" w:sz="4" w:space="0"/>
              <w:right w:val="single" w:color="auto" w:sz="4" w:space="0"/>
            </w:tcBorders>
            <w:vAlign w:val="center"/>
          </w:tcPr>
          <w:p w14:paraId="25F65ABD">
            <w:pPr>
              <w:widowControl/>
              <w:numPr>
                <w:ilvl w:val="0"/>
                <w:numId w:val="0"/>
              </w:numPr>
              <w:ind w:left="0" w:leftChars="0" w:firstLine="0" w:firstLineChars="0"/>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6</w:t>
            </w:r>
          </w:p>
        </w:tc>
        <w:tc>
          <w:tcPr>
            <w:tcW w:w="1602" w:type="dxa"/>
            <w:tcBorders>
              <w:top w:val="single" w:color="auto" w:sz="4" w:space="0"/>
              <w:left w:val="nil"/>
              <w:bottom w:val="single" w:color="auto" w:sz="4" w:space="0"/>
              <w:right w:val="single" w:color="auto" w:sz="4" w:space="0"/>
            </w:tcBorders>
            <w:vAlign w:val="center"/>
          </w:tcPr>
          <w:p w14:paraId="1F7919DB">
            <w:pPr>
              <w:widowControl/>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PLM产品生命周期管理</w:t>
            </w:r>
          </w:p>
        </w:tc>
        <w:tc>
          <w:tcPr>
            <w:tcW w:w="2613" w:type="dxa"/>
            <w:tcBorders>
              <w:top w:val="single" w:color="auto" w:sz="4" w:space="0"/>
              <w:left w:val="nil"/>
              <w:bottom w:val="single" w:color="auto" w:sz="4" w:space="0"/>
              <w:right w:val="single" w:color="auto" w:sz="4" w:space="0"/>
            </w:tcBorders>
            <w:vAlign w:val="center"/>
          </w:tcPr>
          <w:p w14:paraId="7F7D829F">
            <w:pPr>
              <w:widowControl/>
              <w:ind w:right="-154" w:rightChars="-55"/>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图纸管理、文档管理、物料BOM管理、版本管理、ECR/ECN管理、问题管理、设计工具集成、项目计划管理、权限及生命周期管理、ERP集成</w:t>
            </w:r>
          </w:p>
        </w:tc>
        <w:tc>
          <w:tcPr>
            <w:tcW w:w="4401" w:type="dxa"/>
            <w:tcBorders>
              <w:top w:val="single" w:color="auto" w:sz="4" w:space="0"/>
              <w:left w:val="nil"/>
              <w:bottom w:val="single" w:color="auto" w:sz="4" w:space="0"/>
              <w:right w:val="single" w:color="auto" w:sz="4" w:space="0"/>
            </w:tcBorders>
            <w:vAlign w:val="center"/>
          </w:tcPr>
          <w:p w14:paraId="2CA60481">
            <w:pPr>
              <w:widowControl/>
              <w:jc w:val="left"/>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系统广泛应用于产品从研发设计、生产制造到售后回收的全生命周期，在制造业核心环节、跨行业领域及新兴数字化场景中，通过数据管理与协同优化实现降本增效、风险管控与创新支持。</w:t>
            </w:r>
          </w:p>
        </w:tc>
        <w:tc>
          <w:tcPr>
            <w:tcW w:w="2204" w:type="dxa"/>
            <w:tcBorders>
              <w:top w:val="single" w:color="auto" w:sz="4" w:space="0"/>
              <w:left w:val="nil"/>
              <w:bottom w:val="single" w:color="auto" w:sz="4" w:space="0"/>
              <w:right w:val="single" w:color="auto" w:sz="4" w:space="0"/>
            </w:tcBorders>
            <w:vAlign w:val="center"/>
          </w:tcPr>
          <w:p w14:paraId="75B55599">
            <w:pPr>
              <w:widowControl/>
              <w:ind w:right="-171" w:rightChars="-61"/>
              <w:jc w:val="both"/>
              <w:textAlignment w:val="center"/>
              <w:rPr>
                <w:rFonts w:hint="default"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kern w:val="0"/>
                <w:sz w:val="24"/>
                <w:szCs w:val="24"/>
              </w:rPr>
              <w:t>35</w:t>
            </w:r>
            <w:r>
              <w:rPr>
                <w:rFonts w:hint="eastAsia" w:ascii="仿宋_GB2312" w:hAnsi="仿宋_GB2312" w:eastAsia="仿宋_GB2312" w:cs="仿宋_GB2312"/>
                <w:color w:val="auto"/>
                <w:kern w:val="0"/>
                <w:sz w:val="24"/>
                <w:szCs w:val="24"/>
                <w:lang w:val="en-US" w:eastAsia="zh-CN"/>
              </w:rPr>
              <w:t>万元</w:t>
            </w:r>
            <w:r>
              <w:rPr>
                <w:rFonts w:hint="eastAsia" w:ascii="仿宋_GB2312" w:hAnsi="仿宋_GB2312" w:eastAsia="仿宋_GB2312" w:cs="仿宋_GB2312"/>
                <w:color w:val="auto"/>
                <w:kern w:val="0"/>
                <w:sz w:val="24"/>
                <w:szCs w:val="24"/>
              </w:rPr>
              <w:t>-85</w:t>
            </w:r>
            <w:r>
              <w:rPr>
                <w:rFonts w:hint="eastAsia" w:ascii="仿宋_GB2312" w:hAnsi="仿宋_GB2312" w:eastAsia="仿宋_GB2312" w:cs="仿宋_GB2312"/>
                <w:color w:val="auto"/>
                <w:kern w:val="0"/>
                <w:sz w:val="24"/>
                <w:szCs w:val="24"/>
                <w:lang w:val="en-US" w:eastAsia="zh-CN"/>
              </w:rPr>
              <w:t>万元/套</w:t>
            </w:r>
          </w:p>
        </w:tc>
        <w:tc>
          <w:tcPr>
            <w:tcW w:w="2380" w:type="dxa"/>
            <w:tcBorders>
              <w:top w:val="single" w:color="auto" w:sz="4" w:space="0"/>
              <w:left w:val="nil"/>
              <w:bottom w:val="single" w:color="auto" w:sz="4" w:space="0"/>
              <w:right w:val="single" w:color="auto" w:sz="4" w:space="0"/>
            </w:tcBorders>
            <w:vAlign w:val="center"/>
          </w:tcPr>
          <w:p w14:paraId="7BB8A07C">
            <w:pPr>
              <w:rPr>
                <w:rFonts w:hint="eastAsia"/>
                <w:color w:val="auto"/>
              </w:rPr>
            </w:pPr>
            <w:r>
              <w:rPr>
                <w:rFonts w:hint="eastAsia" w:ascii="仿宋_GB2312" w:hAnsi="仿宋_GB2312" w:eastAsia="仿宋_GB2312" w:cs="仿宋_GB2312"/>
                <w:color w:val="auto"/>
                <w:kern w:val="0"/>
                <w:sz w:val="24"/>
                <w:szCs w:val="24"/>
                <w:lang w:val="en-US" w:eastAsia="zh-CN"/>
              </w:rPr>
              <w:t>新增</w:t>
            </w:r>
          </w:p>
        </w:tc>
      </w:tr>
    </w:tbl>
    <w:p w14:paraId="4DB6544D">
      <w:pPr>
        <w:pStyle w:val="2"/>
        <w:rPr>
          <w:rFonts w:hint="eastAsia" w:ascii="仿宋_GB2312" w:hAnsi="仿宋_GB2312" w:eastAsia="仿宋_GB2312" w:cs="仿宋_GB2312"/>
          <w:bCs/>
          <w:sz w:val="32"/>
          <w:szCs w:val="32"/>
        </w:rPr>
      </w:pPr>
    </w:p>
    <w:p w14:paraId="7C70C0F1">
      <w:pPr>
        <w:pStyle w:val="2"/>
        <w:rPr>
          <w:rFonts w:hint="eastAsia" w:ascii="仿宋_GB2312" w:hAnsi="仿宋_GB2312" w:eastAsia="仿宋_GB2312" w:cs="仿宋_GB2312"/>
          <w:bCs/>
          <w:sz w:val="32"/>
          <w:szCs w:val="32"/>
        </w:rPr>
      </w:pPr>
    </w:p>
    <w:p w14:paraId="48F38592">
      <w:pPr>
        <w:pStyle w:val="2"/>
        <w:rPr>
          <w:rFonts w:hint="eastAsia" w:ascii="仿宋_GB2312" w:hAnsi="仿宋_GB2312" w:eastAsia="仿宋_GB2312" w:cs="仿宋_GB2312"/>
          <w:bCs/>
          <w:sz w:val="32"/>
          <w:szCs w:val="32"/>
        </w:rPr>
      </w:pPr>
    </w:p>
    <w:p w14:paraId="78463E56">
      <w:pPr>
        <w:pStyle w:val="2"/>
        <w:rPr>
          <w:rFonts w:hint="eastAsia" w:ascii="仿宋_GB2312" w:hAnsi="仿宋_GB2312" w:eastAsia="仿宋_GB2312" w:cs="仿宋_GB2312"/>
          <w:bCs/>
          <w:sz w:val="32"/>
          <w:szCs w:val="32"/>
        </w:rPr>
      </w:pPr>
    </w:p>
    <w:p w14:paraId="28E32656">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w:t>
      </w:r>
      <w:r>
        <w:rPr>
          <w:rFonts w:hint="eastAsia" w:ascii="仿宋_GB2312" w:hAnsi="仿宋_GB2312" w:eastAsia="仿宋_GB2312" w:cs="仿宋_GB2312"/>
          <w:bCs/>
          <w:sz w:val="32"/>
          <w:szCs w:val="32"/>
          <w:lang w:val="en-US" w:eastAsia="zh-CN"/>
        </w:rPr>
        <w:t>四</w:t>
      </w:r>
      <w:r>
        <w:rPr>
          <w:rFonts w:hint="eastAsia" w:ascii="仿宋_GB2312" w:hAnsi="仿宋_GB2312" w:eastAsia="仿宋_GB2312" w:cs="仿宋_GB2312"/>
          <w:bCs/>
          <w:sz w:val="32"/>
          <w:szCs w:val="32"/>
        </w:rPr>
        <w:t>）联合体成员：广东</w:t>
      </w:r>
      <w:r>
        <w:rPr>
          <w:rFonts w:hint="eastAsia" w:ascii="仿宋_GB2312" w:hAnsi="仿宋_GB2312" w:eastAsia="仿宋_GB2312" w:cs="仿宋_GB2312"/>
          <w:bCs/>
          <w:sz w:val="32"/>
          <w:szCs w:val="32"/>
          <w:lang w:val="en-US" w:eastAsia="zh-CN"/>
        </w:rPr>
        <w:t>知业科技</w:t>
      </w:r>
      <w:r>
        <w:rPr>
          <w:rFonts w:hint="eastAsia" w:ascii="仿宋_GB2312" w:hAnsi="仿宋_GB2312" w:eastAsia="仿宋_GB2312" w:cs="仿宋_GB2312"/>
          <w:bCs/>
          <w:sz w:val="32"/>
          <w:szCs w:val="32"/>
        </w:rPr>
        <w:t>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713"/>
        <w:gridCol w:w="1598"/>
        <w:gridCol w:w="2724"/>
        <w:gridCol w:w="3964"/>
        <w:gridCol w:w="2037"/>
        <w:gridCol w:w="2842"/>
      </w:tblGrid>
      <w:tr w14:paraId="19FDADC1">
        <w:tblPrEx>
          <w:tblCellMar>
            <w:top w:w="0" w:type="dxa"/>
            <w:left w:w="108" w:type="dxa"/>
            <w:bottom w:w="0" w:type="dxa"/>
            <w:right w:w="108" w:type="dxa"/>
          </w:tblCellMar>
        </w:tblPrEx>
        <w:trPr>
          <w:trHeight w:val="788" w:hRule="atLeast"/>
        </w:trPr>
        <w:tc>
          <w:tcPr>
            <w:tcW w:w="713" w:type="dxa"/>
            <w:tcBorders>
              <w:top w:val="single" w:color="auto" w:sz="4" w:space="0"/>
              <w:left w:val="single" w:color="auto" w:sz="4" w:space="0"/>
              <w:bottom w:val="single" w:color="auto" w:sz="4" w:space="0"/>
              <w:right w:val="single" w:color="auto" w:sz="4" w:space="0"/>
            </w:tcBorders>
            <w:vAlign w:val="center"/>
          </w:tcPr>
          <w:p w14:paraId="113F8EF4">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98" w:type="dxa"/>
            <w:tcBorders>
              <w:top w:val="single" w:color="auto" w:sz="4" w:space="0"/>
              <w:left w:val="nil"/>
              <w:bottom w:val="single" w:color="auto" w:sz="4" w:space="0"/>
              <w:right w:val="single" w:color="auto" w:sz="4" w:space="0"/>
            </w:tcBorders>
            <w:vAlign w:val="center"/>
          </w:tcPr>
          <w:p w14:paraId="104523BC">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724" w:type="dxa"/>
            <w:tcBorders>
              <w:top w:val="single" w:color="auto" w:sz="4" w:space="0"/>
              <w:left w:val="nil"/>
              <w:bottom w:val="single" w:color="auto" w:sz="4" w:space="0"/>
              <w:right w:val="single" w:color="auto" w:sz="4" w:space="0"/>
            </w:tcBorders>
            <w:vAlign w:val="center"/>
          </w:tcPr>
          <w:p w14:paraId="13506951">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964" w:type="dxa"/>
            <w:tcBorders>
              <w:top w:val="single" w:color="auto" w:sz="4" w:space="0"/>
              <w:left w:val="nil"/>
              <w:bottom w:val="single" w:color="auto" w:sz="4" w:space="0"/>
              <w:right w:val="single" w:color="auto" w:sz="4" w:space="0"/>
            </w:tcBorders>
            <w:vAlign w:val="center"/>
          </w:tcPr>
          <w:p w14:paraId="14855E92">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2037" w:type="dxa"/>
            <w:tcBorders>
              <w:top w:val="single" w:color="auto" w:sz="4" w:space="0"/>
              <w:left w:val="nil"/>
              <w:bottom w:val="single" w:color="auto" w:sz="4" w:space="0"/>
              <w:right w:val="single" w:color="auto" w:sz="4" w:space="0"/>
            </w:tcBorders>
            <w:vAlign w:val="center"/>
          </w:tcPr>
          <w:p w14:paraId="3103A197">
            <w:pPr>
              <w:widowControl/>
              <w:jc w:val="center"/>
              <w:rPr>
                <w:rFonts w:hint="eastAsia"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842" w:type="dxa"/>
            <w:tcBorders>
              <w:top w:val="single" w:color="auto" w:sz="4" w:space="0"/>
              <w:left w:val="nil"/>
              <w:bottom w:val="single" w:color="auto" w:sz="4" w:space="0"/>
              <w:right w:val="single" w:color="auto" w:sz="4" w:space="0"/>
            </w:tcBorders>
            <w:vAlign w:val="center"/>
          </w:tcPr>
          <w:p w14:paraId="3F59F845">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6CA7EA6A">
        <w:tblPrEx>
          <w:tblCellMar>
            <w:top w:w="0" w:type="dxa"/>
            <w:left w:w="108" w:type="dxa"/>
            <w:bottom w:w="0" w:type="dxa"/>
            <w:right w:w="108" w:type="dxa"/>
          </w:tblCellMar>
        </w:tblPrEx>
        <w:trPr>
          <w:trHeight w:val="1090" w:hRule="atLeast"/>
        </w:trPr>
        <w:tc>
          <w:tcPr>
            <w:tcW w:w="713" w:type="dxa"/>
            <w:tcBorders>
              <w:top w:val="single" w:color="auto" w:sz="4" w:space="0"/>
              <w:left w:val="single" w:color="auto" w:sz="4" w:space="0"/>
              <w:bottom w:val="single" w:color="auto" w:sz="4" w:space="0"/>
              <w:right w:val="single" w:color="auto" w:sz="4" w:space="0"/>
            </w:tcBorders>
            <w:vAlign w:val="center"/>
          </w:tcPr>
          <w:p w14:paraId="6306A44C">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1</w:t>
            </w:r>
          </w:p>
        </w:tc>
        <w:tc>
          <w:tcPr>
            <w:tcW w:w="1598" w:type="dxa"/>
            <w:tcBorders>
              <w:top w:val="single" w:color="auto" w:sz="4" w:space="0"/>
              <w:left w:val="nil"/>
              <w:bottom w:val="single" w:color="auto" w:sz="4" w:space="0"/>
              <w:right w:val="single" w:color="auto" w:sz="4" w:space="0"/>
            </w:tcBorders>
            <w:vAlign w:val="center"/>
          </w:tcPr>
          <w:p w14:paraId="437EA3BB">
            <w:pPr>
              <w:widowControl/>
              <w:jc w:val="center"/>
              <w:textAlignment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设备物联IOT系统</w:t>
            </w:r>
          </w:p>
        </w:tc>
        <w:tc>
          <w:tcPr>
            <w:tcW w:w="2724" w:type="dxa"/>
            <w:tcBorders>
              <w:top w:val="single" w:color="auto" w:sz="4" w:space="0"/>
              <w:left w:val="nil"/>
              <w:bottom w:val="single" w:color="auto" w:sz="4" w:space="0"/>
              <w:right w:val="single" w:color="auto" w:sz="4" w:space="0"/>
            </w:tcBorders>
            <w:shd w:val="clear" w:color="auto" w:fill="auto"/>
            <w:vAlign w:val="center"/>
          </w:tcPr>
          <w:p w14:paraId="7505643F">
            <w:pPr>
              <w:keepNext w:val="0"/>
              <w:keepLines w:val="0"/>
              <w:widowControl/>
              <w:suppressLineNumbers w:val="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实现生产设备数据采集、设备远程控制、智能决策、设备诊断等</w:t>
            </w:r>
          </w:p>
        </w:tc>
        <w:tc>
          <w:tcPr>
            <w:tcW w:w="3964" w:type="dxa"/>
            <w:tcBorders>
              <w:top w:val="single" w:color="auto" w:sz="4" w:space="0"/>
              <w:left w:val="nil"/>
              <w:bottom w:val="single" w:color="auto" w:sz="4" w:space="0"/>
              <w:right w:val="single" w:color="auto" w:sz="4" w:space="0"/>
            </w:tcBorders>
            <w:vAlign w:val="center"/>
          </w:tcPr>
          <w:p w14:paraId="6B83BB8E">
            <w:pPr>
              <w:widowControl/>
              <w:jc w:val="both"/>
              <w:textAlignment w:val="center"/>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数据采集、预测性养护、设备诊断、故障溯源、设备远程监控、设备远程控制</w:t>
            </w:r>
            <w:r>
              <w:rPr>
                <w:rFonts w:hint="eastAsia" w:ascii="仿宋" w:hAnsi="仿宋" w:cs="仿宋"/>
                <w:color w:val="auto"/>
                <w:kern w:val="0"/>
                <w:sz w:val="24"/>
                <w:szCs w:val="24"/>
                <w:lang w:eastAsia="zh-CN"/>
              </w:rPr>
              <w:t>。</w:t>
            </w:r>
          </w:p>
        </w:tc>
        <w:tc>
          <w:tcPr>
            <w:tcW w:w="2037" w:type="dxa"/>
            <w:tcBorders>
              <w:top w:val="single" w:color="auto" w:sz="4" w:space="0"/>
              <w:left w:val="nil"/>
              <w:bottom w:val="single" w:color="auto" w:sz="4" w:space="0"/>
              <w:right w:val="single" w:color="auto" w:sz="4" w:space="0"/>
            </w:tcBorders>
            <w:shd w:val="clear" w:color="auto" w:fill="auto"/>
            <w:vAlign w:val="center"/>
          </w:tcPr>
          <w:p w14:paraId="200BCA50">
            <w:pPr>
              <w:keepNext w:val="0"/>
              <w:keepLines w:val="0"/>
              <w:widowControl/>
              <w:suppressLineNumbers w:val="0"/>
              <w:jc w:val="center"/>
              <w:textAlignment w:val="center"/>
              <w:rPr>
                <w:rFonts w:hint="default"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10</w:t>
            </w:r>
            <w:r>
              <w:rPr>
                <w:rFonts w:hint="eastAsia" w:ascii="仿宋" w:hAnsi="仿宋" w:cs="仿宋"/>
                <w:i w:val="0"/>
                <w:iCs w:val="0"/>
                <w:color w:val="auto"/>
                <w:kern w:val="2"/>
                <w:sz w:val="24"/>
                <w:szCs w:val="24"/>
                <w:u w:val="none"/>
                <w:lang w:val="en-US" w:eastAsia="zh-CN" w:bidi="ar-SA"/>
              </w:rPr>
              <w:t>万元-</w:t>
            </w:r>
            <w:r>
              <w:rPr>
                <w:rFonts w:hint="eastAsia" w:ascii="仿宋" w:hAnsi="仿宋" w:eastAsia="仿宋" w:cs="仿宋"/>
                <w:i w:val="0"/>
                <w:iCs w:val="0"/>
                <w:color w:val="auto"/>
                <w:kern w:val="2"/>
                <w:sz w:val="24"/>
                <w:szCs w:val="24"/>
                <w:u w:val="none"/>
                <w:lang w:val="en-US" w:eastAsia="zh-CN" w:bidi="ar-SA"/>
              </w:rPr>
              <w:t>20万</w:t>
            </w:r>
            <w:r>
              <w:rPr>
                <w:rFonts w:hint="eastAsia" w:ascii="仿宋" w:hAnsi="仿宋" w:cs="仿宋"/>
                <w:i w:val="0"/>
                <w:iCs w:val="0"/>
                <w:color w:val="auto"/>
                <w:kern w:val="2"/>
                <w:sz w:val="24"/>
                <w:szCs w:val="24"/>
                <w:u w:val="none"/>
                <w:lang w:val="en-US" w:eastAsia="zh-CN" w:bidi="ar-SA"/>
              </w:rPr>
              <w:t>元</w:t>
            </w:r>
          </w:p>
        </w:tc>
        <w:tc>
          <w:tcPr>
            <w:tcW w:w="2842" w:type="dxa"/>
            <w:tcBorders>
              <w:top w:val="single" w:color="auto" w:sz="4" w:space="0"/>
              <w:left w:val="nil"/>
              <w:bottom w:val="single" w:color="auto" w:sz="4" w:space="0"/>
              <w:right w:val="single" w:color="auto" w:sz="4" w:space="0"/>
            </w:tcBorders>
            <w:vAlign w:val="center"/>
          </w:tcPr>
          <w:p w14:paraId="2BB6B1F7">
            <w:pPr>
              <w:widowControl/>
              <w:jc w:val="center"/>
              <w:textAlignment w:val="center"/>
              <w:rPr>
                <w:rFonts w:hint="eastAsia" w:ascii="仿宋" w:hAnsi="仿宋" w:eastAsia="仿宋" w:cs="仿宋"/>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0F5A76B4">
        <w:tblPrEx>
          <w:tblCellMar>
            <w:top w:w="0" w:type="dxa"/>
            <w:left w:w="108" w:type="dxa"/>
            <w:bottom w:w="0" w:type="dxa"/>
            <w:right w:w="108" w:type="dxa"/>
          </w:tblCellMar>
        </w:tblPrEx>
        <w:trPr>
          <w:trHeight w:val="1080" w:hRule="atLeast"/>
        </w:trPr>
        <w:tc>
          <w:tcPr>
            <w:tcW w:w="713" w:type="dxa"/>
            <w:tcBorders>
              <w:top w:val="single" w:color="auto" w:sz="4" w:space="0"/>
              <w:left w:val="single" w:color="auto" w:sz="4" w:space="0"/>
              <w:bottom w:val="single" w:color="auto" w:sz="4" w:space="0"/>
              <w:right w:val="single" w:color="auto" w:sz="4" w:space="0"/>
            </w:tcBorders>
            <w:vAlign w:val="center"/>
          </w:tcPr>
          <w:p w14:paraId="1645B9D4">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2</w:t>
            </w:r>
          </w:p>
        </w:tc>
        <w:tc>
          <w:tcPr>
            <w:tcW w:w="1598" w:type="dxa"/>
            <w:tcBorders>
              <w:top w:val="single" w:color="auto" w:sz="4" w:space="0"/>
              <w:left w:val="nil"/>
              <w:bottom w:val="single" w:color="auto" w:sz="4" w:space="0"/>
              <w:right w:val="single" w:color="auto" w:sz="4" w:space="0"/>
            </w:tcBorders>
            <w:shd w:val="clear" w:color="auto" w:fill="auto"/>
            <w:vAlign w:val="center"/>
          </w:tcPr>
          <w:p w14:paraId="2FDC5535">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工艺管理MPM系统</w:t>
            </w:r>
          </w:p>
        </w:tc>
        <w:tc>
          <w:tcPr>
            <w:tcW w:w="2724" w:type="dxa"/>
            <w:tcBorders>
              <w:top w:val="single" w:color="auto" w:sz="4" w:space="0"/>
              <w:left w:val="nil"/>
              <w:bottom w:val="single" w:color="auto" w:sz="4" w:space="0"/>
              <w:right w:val="single" w:color="auto" w:sz="4" w:space="0"/>
            </w:tcBorders>
            <w:shd w:val="clear" w:color="auto" w:fill="auto"/>
            <w:vAlign w:val="center"/>
          </w:tcPr>
          <w:p w14:paraId="5812FA60">
            <w:pPr>
              <w:keepNext w:val="0"/>
              <w:keepLines w:val="0"/>
              <w:widowControl/>
              <w:suppressLineNumbers w:val="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对企业工艺进行资产化，构建工艺知识专家库</w:t>
            </w:r>
          </w:p>
        </w:tc>
        <w:tc>
          <w:tcPr>
            <w:tcW w:w="3964" w:type="dxa"/>
            <w:tcBorders>
              <w:top w:val="single" w:color="auto" w:sz="4" w:space="0"/>
              <w:left w:val="nil"/>
              <w:bottom w:val="single" w:color="auto" w:sz="4" w:space="0"/>
              <w:right w:val="single" w:color="auto" w:sz="4" w:space="0"/>
            </w:tcBorders>
            <w:shd w:val="clear" w:color="auto" w:fill="auto"/>
            <w:vAlign w:val="center"/>
          </w:tcPr>
          <w:p w14:paraId="2DF0CB5B">
            <w:pPr>
              <w:keepNext w:val="0"/>
              <w:keepLines w:val="0"/>
              <w:widowControl/>
              <w:suppressLineNumbers w:val="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工艺知识库、工艺下发、工艺监测、工艺预警、工艺优化、工艺分析</w:t>
            </w:r>
            <w:r>
              <w:rPr>
                <w:rFonts w:hint="eastAsia" w:ascii="仿宋" w:hAnsi="仿宋" w:cs="仿宋"/>
                <w:i w:val="0"/>
                <w:iCs w:val="0"/>
                <w:color w:val="auto"/>
                <w:kern w:val="2"/>
                <w:sz w:val="24"/>
                <w:szCs w:val="24"/>
                <w:u w:val="none"/>
                <w:lang w:val="en-US" w:eastAsia="zh-CN" w:bidi="ar-SA"/>
              </w:rPr>
              <w:t>。</w:t>
            </w:r>
          </w:p>
        </w:tc>
        <w:tc>
          <w:tcPr>
            <w:tcW w:w="2037" w:type="dxa"/>
            <w:tcBorders>
              <w:top w:val="single" w:color="auto" w:sz="4" w:space="0"/>
              <w:left w:val="nil"/>
              <w:bottom w:val="single" w:color="auto" w:sz="4" w:space="0"/>
              <w:right w:val="single" w:color="auto" w:sz="4" w:space="0"/>
            </w:tcBorders>
            <w:shd w:val="clear" w:color="auto" w:fill="auto"/>
            <w:vAlign w:val="center"/>
          </w:tcPr>
          <w:p w14:paraId="404FE7B5">
            <w:pPr>
              <w:keepNext w:val="0"/>
              <w:keepLines w:val="0"/>
              <w:widowControl/>
              <w:suppressLineNumbers w:val="0"/>
              <w:jc w:val="center"/>
              <w:textAlignment w:val="center"/>
              <w:rPr>
                <w:rFonts w:hint="default"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10</w:t>
            </w:r>
            <w:r>
              <w:rPr>
                <w:rFonts w:hint="eastAsia" w:ascii="仿宋" w:hAnsi="仿宋" w:cs="仿宋"/>
                <w:i w:val="0"/>
                <w:iCs w:val="0"/>
                <w:color w:val="auto"/>
                <w:kern w:val="2"/>
                <w:sz w:val="24"/>
                <w:szCs w:val="24"/>
                <w:u w:val="none"/>
                <w:lang w:val="en-US" w:eastAsia="zh-CN" w:bidi="ar-SA"/>
              </w:rPr>
              <w:t>万元</w:t>
            </w:r>
            <w:r>
              <w:rPr>
                <w:rFonts w:hint="eastAsia" w:ascii="仿宋" w:hAnsi="仿宋" w:eastAsia="仿宋" w:cs="仿宋"/>
                <w:i w:val="0"/>
                <w:iCs w:val="0"/>
                <w:color w:val="auto"/>
                <w:kern w:val="2"/>
                <w:sz w:val="24"/>
                <w:szCs w:val="24"/>
                <w:u w:val="none"/>
                <w:lang w:val="en-US" w:eastAsia="zh-CN" w:bidi="ar-SA"/>
              </w:rPr>
              <w:t>-20万</w:t>
            </w:r>
            <w:r>
              <w:rPr>
                <w:rFonts w:hint="eastAsia" w:ascii="仿宋" w:hAnsi="仿宋" w:cs="仿宋"/>
                <w:i w:val="0"/>
                <w:iCs w:val="0"/>
                <w:color w:val="auto"/>
                <w:kern w:val="2"/>
                <w:sz w:val="24"/>
                <w:szCs w:val="24"/>
                <w:u w:val="none"/>
                <w:lang w:val="en-US" w:eastAsia="zh-CN" w:bidi="ar-SA"/>
              </w:rPr>
              <w:t>元</w:t>
            </w:r>
          </w:p>
        </w:tc>
        <w:tc>
          <w:tcPr>
            <w:tcW w:w="2842" w:type="dxa"/>
            <w:tcBorders>
              <w:top w:val="single" w:color="auto" w:sz="4" w:space="0"/>
              <w:left w:val="nil"/>
              <w:bottom w:val="single" w:color="auto" w:sz="4" w:space="0"/>
              <w:right w:val="single" w:color="auto" w:sz="4" w:space="0"/>
            </w:tcBorders>
            <w:vAlign w:val="center"/>
          </w:tcPr>
          <w:p w14:paraId="40860B79">
            <w:pPr>
              <w:widowControl/>
              <w:jc w:val="center"/>
              <w:textAlignment w:val="center"/>
              <w:rPr>
                <w:rFonts w:hint="eastAsia" w:ascii="仿宋" w:hAnsi="仿宋" w:eastAsia="仿宋" w:cs="仿宋"/>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708BA22E">
        <w:tblPrEx>
          <w:tblCellMar>
            <w:top w:w="0" w:type="dxa"/>
            <w:left w:w="108" w:type="dxa"/>
            <w:bottom w:w="0" w:type="dxa"/>
            <w:right w:w="108" w:type="dxa"/>
          </w:tblCellMar>
        </w:tblPrEx>
        <w:trPr>
          <w:trHeight w:val="1017" w:hRule="atLeast"/>
        </w:trPr>
        <w:tc>
          <w:tcPr>
            <w:tcW w:w="713" w:type="dxa"/>
            <w:tcBorders>
              <w:top w:val="single" w:color="auto" w:sz="4" w:space="0"/>
              <w:left w:val="single" w:color="auto" w:sz="4" w:space="0"/>
              <w:bottom w:val="single" w:color="auto" w:sz="4" w:space="0"/>
              <w:right w:val="single" w:color="auto" w:sz="4" w:space="0"/>
            </w:tcBorders>
            <w:vAlign w:val="center"/>
          </w:tcPr>
          <w:p w14:paraId="4369BF13">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3</w:t>
            </w:r>
          </w:p>
        </w:tc>
        <w:tc>
          <w:tcPr>
            <w:tcW w:w="1598" w:type="dxa"/>
            <w:tcBorders>
              <w:top w:val="single" w:color="auto" w:sz="4" w:space="0"/>
              <w:left w:val="nil"/>
              <w:bottom w:val="single" w:color="auto" w:sz="4" w:space="0"/>
              <w:right w:val="single" w:color="auto" w:sz="4" w:space="0"/>
            </w:tcBorders>
            <w:shd w:val="clear" w:color="auto" w:fill="auto"/>
            <w:vAlign w:val="center"/>
          </w:tcPr>
          <w:p w14:paraId="624E4C9A">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精益生产系统</w:t>
            </w:r>
          </w:p>
        </w:tc>
        <w:tc>
          <w:tcPr>
            <w:tcW w:w="2724" w:type="dxa"/>
            <w:tcBorders>
              <w:top w:val="single" w:color="auto" w:sz="4" w:space="0"/>
              <w:left w:val="nil"/>
              <w:bottom w:val="single" w:color="auto" w:sz="4" w:space="0"/>
              <w:right w:val="single" w:color="auto" w:sz="4" w:space="0"/>
            </w:tcBorders>
            <w:vAlign w:val="center"/>
          </w:tcPr>
          <w:p w14:paraId="53AA6F4D">
            <w:pPr>
              <w:keepNext w:val="0"/>
              <w:keepLines w:val="0"/>
              <w:widowControl/>
              <w:suppressLineNumbers w:val="0"/>
              <w:jc w:val="both"/>
              <w:textAlignment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构建生产协同智能化平台，实现与ERP融合</w:t>
            </w:r>
          </w:p>
        </w:tc>
        <w:tc>
          <w:tcPr>
            <w:tcW w:w="3964" w:type="dxa"/>
            <w:tcBorders>
              <w:top w:val="single" w:color="auto" w:sz="4" w:space="0"/>
              <w:left w:val="nil"/>
              <w:bottom w:val="single" w:color="auto" w:sz="4" w:space="0"/>
              <w:right w:val="single" w:color="auto" w:sz="4" w:space="0"/>
            </w:tcBorders>
            <w:shd w:val="clear" w:color="auto" w:fill="auto"/>
            <w:vAlign w:val="center"/>
          </w:tcPr>
          <w:p w14:paraId="4DCA2524">
            <w:pPr>
              <w:keepNext w:val="0"/>
              <w:keepLines w:val="0"/>
              <w:widowControl/>
              <w:suppressLineNumbers w:val="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生产计划、生产任务下达、生产报工、在制品看板、品质管理、生产叫料、生产分析报表</w:t>
            </w:r>
            <w:r>
              <w:rPr>
                <w:rFonts w:hint="eastAsia" w:ascii="仿宋" w:hAnsi="仿宋" w:cs="仿宋"/>
                <w:i w:val="0"/>
                <w:iCs w:val="0"/>
                <w:color w:val="auto"/>
                <w:kern w:val="2"/>
                <w:sz w:val="24"/>
                <w:szCs w:val="24"/>
                <w:u w:val="none"/>
                <w:lang w:val="en-US" w:eastAsia="zh-CN" w:bidi="ar-SA"/>
              </w:rPr>
              <w:t>。</w:t>
            </w:r>
          </w:p>
        </w:tc>
        <w:tc>
          <w:tcPr>
            <w:tcW w:w="2037" w:type="dxa"/>
            <w:tcBorders>
              <w:top w:val="single" w:color="auto" w:sz="4" w:space="0"/>
              <w:left w:val="nil"/>
              <w:bottom w:val="single" w:color="auto" w:sz="4" w:space="0"/>
              <w:right w:val="single" w:color="auto" w:sz="4" w:space="0"/>
            </w:tcBorders>
            <w:shd w:val="clear" w:color="auto" w:fill="auto"/>
            <w:vAlign w:val="center"/>
          </w:tcPr>
          <w:p w14:paraId="6DF609CF">
            <w:pPr>
              <w:keepNext w:val="0"/>
              <w:keepLines w:val="0"/>
              <w:widowControl/>
              <w:suppressLineNumbers w:val="0"/>
              <w:jc w:val="center"/>
              <w:textAlignment w:val="center"/>
              <w:rPr>
                <w:rFonts w:hint="default"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20</w:t>
            </w:r>
            <w:r>
              <w:rPr>
                <w:rFonts w:hint="eastAsia" w:ascii="仿宋" w:hAnsi="仿宋" w:cs="仿宋"/>
                <w:i w:val="0"/>
                <w:iCs w:val="0"/>
                <w:color w:val="auto"/>
                <w:kern w:val="2"/>
                <w:sz w:val="24"/>
                <w:szCs w:val="24"/>
                <w:u w:val="none"/>
                <w:lang w:val="en-US" w:eastAsia="zh-CN" w:bidi="ar-SA"/>
              </w:rPr>
              <w:t>万元</w:t>
            </w:r>
            <w:r>
              <w:rPr>
                <w:rFonts w:hint="eastAsia" w:ascii="仿宋" w:hAnsi="仿宋" w:eastAsia="仿宋" w:cs="仿宋"/>
                <w:i w:val="0"/>
                <w:iCs w:val="0"/>
                <w:color w:val="auto"/>
                <w:kern w:val="2"/>
                <w:sz w:val="24"/>
                <w:szCs w:val="24"/>
                <w:u w:val="none"/>
                <w:lang w:val="en-US" w:eastAsia="zh-CN" w:bidi="ar-SA"/>
              </w:rPr>
              <w:t>-70万</w:t>
            </w:r>
            <w:r>
              <w:rPr>
                <w:rFonts w:hint="eastAsia" w:ascii="仿宋" w:hAnsi="仿宋" w:cs="仿宋"/>
                <w:i w:val="0"/>
                <w:iCs w:val="0"/>
                <w:color w:val="auto"/>
                <w:kern w:val="2"/>
                <w:sz w:val="24"/>
                <w:szCs w:val="24"/>
                <w:u w:val="none"/>
                <w:lang w:val="en-US" w:eastAsia="zh-CN" w:bidi="ar-SA"/>
              </w:rPr>
              <w:t>元</w:t>
            </w:r>
          </w:p>
        </w:tc>
        <w:tc>
          <w:tcPr>
            <w:tcW w:w="2842" w:type="dxa"/>
            <w:tcBorders>
              <w:top w:val="single" w:color="auto" w:sz="4" w:space="0"/>
              <w:left w:val="nil"/>
              <w:bottom w:val="single" w:color="auto" w:sz="4" w:space="0"/>
              <w:right w:val="single" w:color="auto" w:sz="4" w:space="0"/>
            </w:tcBorders>
            <w:vAlign w:val="center"/>
          </w:tcPr>
          <w:p w14:paraId="2CF383FE">
            <w:pPr>
              <w:widowControl/>
              <w:jc w:val="center"/>
              <w:textAlignment w:val="center"/>
              <w:rPr>
                <w:rFonts w:hint="eastAsia" w:ascii="仿宋" w:hAnsi="仿宋" w:eastAsia="仿宋" w:cs="仿宋"/>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47B6F4D8">
        <w:tblPrEx>
          <w:tblCellMar>
            <w:top w:w="0" w:type="dxa"/>
            <w:left w:w="108" w:type="dxa"/>
            <w:bottom w:w="0" w:type="dxa"/>
            <w:right w:w="108" w:type="dxa"/>
          </w:tblCellMar>
        </w:tblPrEx>
        <w:trPr>
          <w:trHeight w:val="1092" w:hRule="atLeast"/>
        </w:trPr>
        <w:tc>
          <w:tcPr>
            <w:tcW w:w="713" w:type="dxa"/>
            <w:tcBorders>
              <w:top w:val="single" w:color="auto" w:sz="4" w:space="0"/>
              <w:left w:val="single" w:color="auto" w:sz="4" w:space="0"/>
              <w:bottom w:val="single" w:color="auto" w:sz="4" w:space="0"/>
              <w:right w:val="single" w:color="auto" w:sz="4" w:space="0"/>
            </w:tcBorders>
            <w:vAlign w:val="center"/>
          </w:tcPr>
          <w:p w14:paraId="0EEC8902">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4</w:t>
            </w:r>
          </w:p>
        </w:tc>
        <w:tc>
          <w:tcPr>
            <w:tcW w:w="1598" w:type="dxa"/>
            <w:tcBorders>
              <w:top w:val="single" w:color="auto" w:sz="4" w:space="0"/>
              <w:left w:val="nil"/>
              <w:bottom w:val="single" w:color="auto" w:sz="4" w:space="0"/>
              <w:right w:val="single" w:color="auto" w:sz="4" w:space="0"/>
            </w:tcBorders>
            <w:shd w:val="clear" w:color="auto" w:fill="auto"/>
            <w:vAlign w:val="center"/>
          </w:tcPr>
          <w:p w14:paraId="52B89EBD">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程序管理DNC系统</w:t>
            </w:r>
          </w:p>
        </w:tc>
        <w:tc>
          <w:tcPr>
            <w:tcW w:w="2724" w:type="dxa"/>
            <w:tcBorders>
              <w:top w:val="single" w:color="auto" w:sz="4" w:space="0"/>
              <w:left w:val="nil"/>
              <w:bottom w:val="single" w:color="auto" w:sz="4" w:space="0"/>
              <w:right w:val="single" w:color="auto" w:sz="4" w:space="0"/>
            </w:tcBorders>
            <w:vAlign w:val="center"/>
          </w:tcPr>
          <w:p w14:paraId="5500CAC1">
            <w:pPr>
              <w:keepNext w:val="0"/>
              <w:keepLines w:val="0"/>
              <w:widowControl/>
              <w:suppressLineNumbers w:val="0"/>
              <w:jc w:val="both"/>
              <w:textAlignment w:val="center"/>
              <w:rPr>
                <w:rFonts w:hint="eastAsia" w:ascii="仿宋" w:hAnsi="仿宋" w:eastAsia="仿宋" w:cs="仿宋"/>
                <w:color w:val="auto"/>
                <w:kern w:val="0"/>
                <w:sz w:val="24"/>
                <w:szCs w:val="24"/>
              </w:rPr>
            </w:pPr>
          </w:p>
          <w:p w14:paraId="2F106BFA">
            <w:pPr>
              <w:bidi w:val="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构建数控机床程序管理体系</w:t>
            </w:r>
          </w:p>
        </w:tc>
        <w:tc>
          <w:tcPr>
            <w:tcW w:w="3964" w:type="dxa"/>
            <w:tcBorders>
              <w:top w:val="single" w:color="auto" w:sz="4" w:space="0"/>
              <w:left w:val="nil"/>
              <w:bottom w:val="single" w:color="auto" w:sz="4" w:space="0"/>
              <w:right w:val="single" w:color="auto" w:sz="4" w:space="0"/>
            </w:tcBorders>
            <w:shd w:val="clear" w:color="auto" w:fill="auto"/>
            <w:vAlign w:val="center"/>
          </w:tcPr>
          <w:p w14:paraId="16716DFA">
            <w:pPr>
              <w:keepNext w:val="0"/>
              <w:keepLines w:val="0"/>
              <w:widowControl/>
              <w:suppressLineNumbers w:val="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数控机床程序管理库、程序版本管理、程序自动匹配下发、加工程序对比</w:t>
            </w:r>
            <w:r>
              <w:rPr>
                <w:rFonts w:hint="eastAsia" w:ascii="仿宋" w:hAnsi="仿宋" w:cs="仿宋"/>
                <w:i w:val="0"/>
                <w:iCs w:val="0"/>
                <w:color w:val="auto"/>
                <w:kern w:val="2"/>
                <w:sz w:val="24"/>
                <w:szCs w:val="24"/>
                <w:u w:val="none"/>
                <w:lang w:val="en-US" w:eastAsia="zh-CN" w:bidi="ar-SA"/>
              </w:rPr>
              <w:t>。</w:t>
            </w:r>
          </w:p>
        </w:tc>
        <w:tc>
          <w:tcPr>
            <w:tcW w:w="2037" w:type="dxa"/>
            <w:tcBorders>
              <w:top w:val="single" w:color="auto" w:sz="4" w:space="0"/>
              <w:left w:val="nil"/>
              <w:bottom w:val="single" w:color="auto" w:sz="4" w:space="0"/>
              <w:right w:val="single" w:color="auto" w:sz="4" w:space="0"/>
            </w:tcBorders>
            <w:shd w:val="clear" w:color="auto" w:fill="auto"/>
            <w:vAlign w:val="center"/>
          </w:tcPr>
          <w:p w14:paraId="2DC32A87">
            <w:pPr>
              <w:keepNext w:val="0"/>
              <w:keepLines w:val="0"/>
              <w:widowControl/>
              <w:suppressLineNumbers w:val="0"/>
              <w:jc w:val="center"/>
              <w:textAlignment w:val="center"/>
              <w:rPr>
                <w:rFonts w:hint="default"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10</w:t>
            </w:r>
            <w:r>
              <w:rPr>
                <w:rFonts w:hint="eastAsia" w:ascii="仿宋" w:hAnsi="仿宋" w:cs="仿宋"/>
                <w:i w:val="0"/>
                <w:iCs w:val="0"/>
                <w:color w:val="auto"/>
                <w:kern w:val="2"/>
                <w:sz w:val="24"/>
                <w:szCs w:val="24"/>
                <w:u w:val="none"/>
                <w:lang w:val="en-US" w:eastAsia="zh-CN" w:bidi="ar-SA"/>
              </w:rPr>
              <w:t>万元</w:t>
            </w:r>
            <w:r>
              <w:rPr>
                <w:rFonts w:hint="eastAsia" w:ascii="仿宋" w:hAnsi="仿宋" w:eastAsia="仿宋" w:cs="仿宋"/>
                <w:i w:val="0"/>
                <w:iCs w:val="0"/>
                <w:color w:val="auto"/>
                <w:kern w:val="2"/>
                <w:sz w:val="24"/>
                <w:szCs w:val="24"/>
                <w:u w:val="none"/>
                <w:lang w:val="en-US" w:eastAsia="zh-CN" w:bidi="ar-SA"/>
              </w:rPr>
              <w:t>-20万</w:t>
            </w:r>
            <w:r>
              <w:rPr>
                <w:rFonts w:hint="eastAsia" w:ascii="仿宋" w:hAnsi="仿宋" w:cs="仿宋"/>
                <w:i w:val="0"/>
                <w:iCs w:val="0"/>
                <w:color w:val="auto"/>
                <w:kern w:val="2"/>
                <w:sz w:val="24"/>
                <w:szCs w:val="24"/>
                <w:u w:val="none"/>
                <w:lang w:val="en-US" w:eastAsia="zh-CN" w:bidi="ar-SA"/>
              </w:rPr>
              <w:t>元</w:t>
            </w:r>
          </w:p>
        </w:tc>
        <w:tc>
          <w:tcPr>
            <w:tcW w:w="2842" w:type="dxa"/>
            <w:tcBorders>
              <w:top w:val="single" w:color="auto" w:sz="4" w:space="0"/>
              <w:left w:val="nil"/>
              <w:bottom w:val="single" w:color="auto" w:sz="4" w:space="0"/>
              <w:right w:val="single" w:color="auto" w:sz="4" w:space="0"/>
            </w:tcBorders>
            <w:vAlign w:val="center"/>
          </w:tcPr>
          <w:p w14:paraId="144C001B">
            <w:pPr>
              <w:widowControl/>
              <w:jc w:val="center"/>
              <w:textAlignment w:val="center"/>
              <w:rPr>
                <w:rFonts w:hint="eastAsia" w:ascii="仿宋" w:hAnsi="仿宋" w:eastAsia="仿宋" w:cs="仿宋"/>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4349F0C5">
        <w:tblPrEx>
          <w:tblCellMar>
            <w:top w:w="0" w:type="dxa"/>
            <w:left w:w="108" w:type="dxa"/>
            <w:bottom w:w="0" w:type="dxa"/>
            <w:right w:w="108" w:type="dxa"/>
          </w:tblCellMar>
        </w:tblPrEx>
        <w:trPr>
          <w:trHeight w:val="1206" w:hRule="atLeast"/>
        </w:trPr>
        <w:tc>
          <w:tcPr>
            <w:tcW w:w="713" w:type="dxa"/>
            <w:tcBorders>
              <w:top w:val="single" w:color="auto" w:sz="4" w:space="0"/>
              <w:left w:val="single" w:color="auto" w:sz="4" w:space="0"/>
              <w:bottom w:val="single" w:color="auto" w:sz="4" w:space="0"/>
              <w:right w:val="single" w:color="auto" w:sz="4" w:space="0"/>
            </w:tcBorders>
            <w:vAlign w:val="center"/>
          </w:tcPr>
          <w:p w14:paraId="1AD03C40">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5</w:t>
            </w:r>
          </w:p>
        </w:tc>
        <w:tc>
          <w:tcPr>
            <w:tcW w:w="1598" w:type="dxa"/>
            <w:tcBorders>
              <w:top w:val="single" w:color="auto" w:sz="4" w:space="0"/>
              <w:left w:val="nil"/>
              <w:bottom w:val="single" w:color="auto" w:sz="4" w:space="0"/>
              <w:right w:val="single" w:color="auto" w:sz="4" w:space="0"/>
            </w:tcBorders>
            <w:shd w:val="clear" w:color="auto" w:fill="auto"/>
            <w:vAlign w:val="center"/>
          </w:tcPr>
          <w:p w14:paraId="249EC4AA">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设备TPM管理平台</w:t>
            </w:r>
          </w:p>
        </w:tc>
        <w:tc>
          <w:tcPr>
            <w:tcW w:w="2724" w:type="dxa"/>
            <w:tcBorders>
              <w:top w:val="single" w:color="auto" w:sz="4" w:space="0"/>
              <w:left w:val="nil"/>
              <w:bottom w:val="single" w:color="auto" w:sz="4" w:space="0"/>
              <w:right w:val="single" w:color="auto" w:sz="4" w:space="0"/>
            </w:tcBorders>
            <w:vAlign w:val="center"/>
          </w:tcPr>
          <w:p w14:paraId="2579DF5A">
            <w:pPr>
              <w:keepNext w:val="0"/>
              <w:keepLines w:val="0"/>
              <w:widowControl/>
              <w:suppressLineNumbers w:val="0"/>
              <w:jc w:val="both"/>
              <w:textAlignment w:val="center"/>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帮助企业构建TPM管理体系</w:t>
            </w:r>
            <w:r>
              <w:rPr>
                <w:rFonts w:hint="eastAsia" w:ascii="仿宋" w:hAnsi="仿宋" w:eastAsia="仿宋" w:cs="仿宋"/>
                <w:color w:val="auto"/>
                <w:kern w:val="0"/>
                <w:sz w:val="24"/>
                <w:szCs w:val="24"/>
                <w:lang w:eastAsia="zh-CN"/>
              </w:rPr>
              <w:t>，减少非计划性停机，提升设备OEE</w:t>
            </w:r>
          </w:p>
        </w:tc>
        <w:tc>
          <w:tcPr>
            <w:tcW w:w="3964" w:type="dxa"/>
            <w:tcBorders>
              <w:top w:val="single" w:color="auto" w:sz="4" w:space="0"/>
              <w:left w:val="nil"/>
              <w:bottom w:val="single" w:color="auto" w:sz="4" w:space="0"/>
              <w:right w:val="single" w:color="auto" w:sz="4" w:space="0"/>
            </w:tcBorders>
            <w:shd w:val="clear" w:color="auto" w:fill="auto"/>
            <w:vAlign w:val="center"/>
          </w:tcPr>
          <w:p w14:paraId="26196F53">
            <w:pPr>
              <w:keepNext w:val="0"/>
              <w:keepLines w:val="0"/>
              <w:widowControl/>
              <w:suppressLineNumbers w:val="0"/>
              <w:tabs>
                <w:tab w:val="left" w:pos="1142"/>
              </w:tabs>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数字化TPM管理体系，设备预防性养护、人员工作流程标准化与体系化</w:t>
            </w:r>
            <w:r>
              <w:rPr>
                <w:rFonts w:hint="eastAsia" w:ascii="仿宋" w:hAnsi="仿宋" w:cs="仿宋"/>
                <w:i w:val="0"/>
                <w:iCs w:val="0"/>
                <w:color w:val="auto"/>
                <w:kern w:val="2"/>
                <w:sz w:val="24"/>
                <w:szCs w:val="24"/>
                <w:u w:val="none"/>
                <w:lang w:val="en-US" w:eastAsia="zh-CN" w:bidi="ar-SA"/>
              </w:rPr>
              <w:t>。</w:t>
            </w:r>
          </w:p>
        </w:tc>
        <w:tc>
          <w:tcPr>
            <w:tcW w:w="2037" w:type="dxa"/>
            <w:tcBorders>
              <w:top w:val="single" w:color="auto" w:sz="4" w:space="0"/>
              <w:left w:val="nil"/>
              <w:bottom w:val="single" w:color="auto" w:sz="4" w:space="0"/>
              <w:right w:val="single" w:color="auto" w:sz="4" w:space="0"/>
            </w:tcBorders>
            <w:shd w:val="clear" w:color="auto" w:fill="auto"/>
            <w:vAlign w:val="center"/>
          </w:tcPr>
          <w:p w14:paraId="2281F929">
            <w:pPr>
              <w:keepNext w:val="0"/>
              <w:keepLines w:val="0"/>
              <w:widowControl/>
              <w:suppressLineNumbers w:val="0"/>
              <w:jc w:val="center"/>
              <w:textAlignment w:val="center"/>
              <w:rPr>
                <w:rFonts w:hint="default"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10</w:t>
            </w:r>
            <w:r>
              <w:rPr>
                <w:rFonts w:hint="eastAsia" w:ascii="仿宋" w:hAnsi="仿宋" w:cs="仿宋"/>
                <w:i w:val="0"/>
                <w:iCs w:val="0"/>
                <w:color w:val="auto"/>
                <w:kern w:val="2"/>
                <w:sz w:val="24"/>
                <w:szCs w:val="24"/>
                <w:u w:val="none"/>
                <w:lang w:val="en-US" w:eastAsia="zh-CN" w:bidi="ar-SA"/>
              </w:rPr>
              <w:t>万元</w:t>
            </w:r>
            <w:r>
              <w:rPr>
                <w:rFonts w:hint="eastAsia" w:ascii="仿宋" w:hAnsi="仿宋" w:eastAsia="仿宋" w:cs="仿宋"/>
                <w:i w:val="0"/>
                <w:iCs w:val="0"/>
                <w:color w:val="auto"/>
                <w:kern w:val="2"/>
                <w:sz w:val="24"/>
                <w:szCs w:val="24"/>
                <w:u w:val="none"/>
                <w:lang w:val="en-US" w:eastAsia="zh-CN" w:bidi="ar-SA"/>
              </w:rPr>
              <w:t>-20万</w:t>
            </w:r>
            <w:r>
              <w:rPr>
                <w:rFonts w:hint="eastAsia" w:ascii="仿宋" w:hAnsi="仿宋" w:cs="仿宋"/>
                <w:i w:val="0"/>
                <w:iCs w:val="0"/>
                <w:color w:val="auto"/>
                <w:kern w:val="2"/>
                <w:sz w:val="24"/>
                <w:szCs w:val="24"/>
                <w:u w:val="none"/>
                <w:lang w:val="en-US" w:eastAsia="zh-CN" w:bidi="ar-SA"/>
              </w:rPr>
              <w:t>元</w:t>
            </w:r>
          </w:p>
        </w:tc>
        <w:tc>
          <w:tcPr>
            <w:tcW w:w="2842" w:type="dxa"/>
            <w:tcBorders>
              <w:top w:val="single" w:color="auto" w:sz="4" w:space="0"/>
              <w:left w:val="nil"/>
              <w:bottom w:val="single" w:color="auto" w:sz="4" w:space="0"/>
              <w:right w:val="single" w:color="auto" w:sz="4" w:space="0"/>
            </w:tcBorders>
            <w:vAlign w:val="center"/>
          </w:tcPr>
          <w:p w14:paraId="5B0A8900">
            <w:pPr>
              <w:widowControl/>
              <w:jc w:val="center"/>
              <w:textAlignment w:val="center"/>
              <w:rPr>
                <w:rFonts w:hint="eastAsia" w:ascii="仿宋" w:hAnsi="仿宋" w:eastAsia="仿宋" w:cs="仿宋"/>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2AFE06E5">
        <w:tblPrEx>
          <w:tblCellMar>
            <w:top w:w="0" w:type="dxa"/>
            <w:left w:w="108" w:type="dxa"/>
            <w:bottom w:w="0" w:type="dxa"/>
            <w:right w:w="108" w:type="dxa"/>
          </w:tblCellMar>
        </w:tblPrEx>
        <w:trPr>
          <w:trHeight w:val="1216" w:hRule="atLeast"/>
        </w:trPr>
        <w:tc>
          <w:tcPr>
            <w:tcW w:w="713" w:type="dxa"/>
            <w:tcBorders>
              <w:top w:val="single" w:color="auto" w:sz="4" w:space="0"/>
              <w:left w:val="single" w:color="auto" w:sz="4" w:space="0"/>
              <w:bottom w:val="single" w:color="auto" w:sz="4" w:space="0"/>
              <w:right w:val="single" w:color="auto" w:sz="4" w:space="0"/>
            </w:tcBorders>
            <w:vAlign w:val="center"/>
          </w:tcPr>
          <w:p w14:paraId="27EDBBC8">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6</w:t>
            </w:r>
          </w:p>
        </w:tc>
        <w:tc>
          <w:tcPr>
            <w:tcW w:w="1598" w:type="dxa"/>
            <w:tcBorders>
              <w:top w:val="single" w:color="auto" w:sz="4" w:space="0"/>
              <w:left w:val="nil"/>
              <w:bottom w:val="single" w:color="auto" w:sz="4" w:space="0"/>
              <w:right w:val="single" w:color="auto" w:sz="4" w:space="0"/>
            </w:tcBorders>
            <w:shd w:val="clear" w:color="auto" w:fill="auto"/>
            <w:vAlign w:val="center"/>
          </w:tcPr>
          <w:p w14:paraId="3B0998A4">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筋斗云盒</w:t>
            </w:r>
          </w:p>
        </w:tc>
        <w:tc>
          <w:tcPr>
            <w:tcW w:w="2724" w:type="dxa"/>
            <w:tcBorders>
              <w:top w:val="single" w:color="auto" w:sz="4" w:space="0"/>
              <w:left w:val="nil"/>
              <w:bottom w:val="single" w:color="auto" w:sz="4" w:space="0"/>
              <w:right w:val="single" w:color="auto" w:sz="4" w:space="0"/>
            </w:tcBorders>
            <w:vAlign w:val="center"/>
          </w:tcPr>
          <w:p w14:paraId="2C4B6218">
            <w:pPr>
              <w:keepNext w:val="0"/>
              <w:keepLines w:val="0"/>
              <w:widowControl/>
              <w:suppressLineNumbers w:val="0"/>
              <w:jc w:val="both"/>
              <w:textAlignment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实现生产设备数据采集、远程控制</w:t>
            </w:r>
          </w:p>
        </w:tc>
        <w:tc>
          <w:tcPr>
            <w:tcW w:w="3964" w:type="dxa"/>
            <w:tcBorders>
              <w:top w:val="single" w:color="auto" w:sz="4" w:space="0"/>
              <w:left w:val="nil"/>
              <w:bottom w:val="single" w:color="auto" w:sz="4" w:space="0"/>
              <w:right w:val="single" w:color="auto" w:sz="4" w:space="0"/>
            </w:tcBorders>
            <w:shd w:val="clear" w:color="auto" w:fill="auto"/>
            <w:vAlign w:val="center"/>
          </w:tcPr>
          <w:p w14:paraId="589FB6C5">
            <w:pPr>
              <w:keepNext w:val="0"/>
              <w:keepLines w:val="0"/>
              <w:widowControl/>
              <w:suppressLineNumbers w:val="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生产数据采集、运行数据采集、参数数据采集、远程控制设备、工业数据治理</w:t>
            </w:r>
            <w:r>
              <w:rPr>
                <w:rFonts w:hint="eastAsia" w:ascii="仿宋" w:hAnsi="仿宋" w:cs="仿宋"/>
                <w:i w:val="0"/>
                <w:iCs w:val="0"/>
                <w:color w:val="auto"/>
                <w:kern w:val="2"/>
                <w:sz w:val="24"/>
                <w:szCs w:val="24"/>
                <w:u w:val="none"/>
                <w:lang w:val="en-US" w:eastAsia="zh-CN" w:bidi="ar-SA"/>
              </w:rPr>
              <w:t>。</w:t>
            </w:r>
          </w:p>
        </w:tc>
        <w:tc>
          <w:tcPr>
            <w:tcW w:w="2037" w:type="dxa"/>
            <w:tcBorders>
              <w:top w:val="single" w:color="auto" w:sz="4" w:space="0"/>
              <w:left w:val="nil"/>
              <w:bottom w:val="single" w:color="auto" w:sz="4" w:space="0"/>
              <w:right w:val="single" w:color="auto" w:sz="4" w:space="0"/>
            </w:tcBorders>
            <w:shd w:val="clear" w:color="auto" w:fill="auto"/>
            <w:vAlign w:val="center"/>
          </w:tcPr>
          <w:p w14:paraId="7849A283">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5万</w:t>
            </w:r>
            <w:r>
              <w:rPr>
                <w:rFonts w:hint="eastAsia" w:ascii="仿宋" w:hAnsi="仿宋" w:cs="仿宋"/>
                <w:i w:val="0"/>
                <w:iCs w:val="0"/>
                <w:color w:val="auto"/>
                <w:kern w:val="2"/>
                <w:sz w:val="24"/>
                <w:szCs w:val="24"/>
                <w:u w:val="none"/>
                <w:lang w:val="en-US" w:eastAsia="zh-CN" w:bidi="ar-SA"/>
              </w:rPr>
              <w:t>元</w:t>
            </w:r>
            <w:r>
              <w:rPr>
                <w:rFonts w:hint="eastAsia" w:ascii="仿宋" w:hAnsi="仿宋" w:eastAsia="仿宋" w:cs="仿宋"/>
                <w:i w:val="0"/>
                <w:iCs w:val="0"/>
                <w:color w:val="auto"/>
                <w:kern w:val="2"/>
                <w:sz w:val="24"/>
                <w:szCs w:val="24"/>
                <w:u w:val="none"/>
                <w:lang w:val="en-US" w:eastAsia="zh-CN" w:bidi="ar-SA"/>
              </w:rPr>
              <w:t>以下</w:t>
            </w:r>
          </w:p>
        </w:tc>
        <w:tc>
          <w:tcPr>
            <w:tcW w:w="2842" w:type="dxa"/>
            <w:tcBorders>
              <w:top w:val="single" w:color="auto" w:sz="4" w:space="0"/>
              <w:left w:val="nil"/>
              <w:bottom w:val="single" w:color="auto" w:sz="4" w:space="0"/>
              <w:right w:val="single" w:color="auto" w:sz="4" w:space="0"/>
            </w:tcBorders>
            <w:vAlign w:val="center"/>
          </w:tcPr>
          <w:p w14:paraId="5E02307C">
            <w:pPr>
              <w:widowControl/>
              <w:jc w:val="center"/>
              <w:textAlignment w:val="center"/>
              <w:rPr>
                <w:rFonts w:hint="eastAsia" w:ascii="仿宋" w:hAnsi="仿宋" w:eastAsia="仿宋" w:cs="仿宋"/>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43D24C6A">
        <w:tblPrEx>
          <w:tblCellMar>
            <w:top w:w="0" w:type="dxa"/>
            <w:left w:w="108" w:type="dxa"/>
            <w:bottom w:w="0" w:type="dxa"/>
            <w:right w:w="108" w:type="dxa"/>
          </w:tblCellMar>
        </w:tblPrEx>
        <w:trPr>
          <w:trHeight w:val="1218" w:hRule="atLeast"/>
        </w:trPr>
        <w:tc>
          <w:tcPr>
            <w:tcW w:w="713" w:type="dxa"/>
            <w:tcBorders>
              <w:top w:val="single" w:color="auto" w:sz="4" w:space="0"/>
              <w:left w:val="single" w:color="auto" w:sz="4" w:space="0"/>
              <w:bottom w:val="single" w:color="auto" w:sz="4" w:space="0"/>
              <w:right w:val="single" w:color="auto" w:sz="4" w:space="0"/>
            </w:tcBorders>
            <w:vAlign w:val="center"/>
          </w:tcPr>
          <w:p w14:paraId="6E35E0B9">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7</w:t>
            </w:r>
          </w:p>
        </w:tc>
        <w:tc>
          <w:tcPr>
            <w:tcW w:w="1598" w:type="dxa"/>
            <w:tcBorders>
              <w:top w:val="single" w:color="auto" w:sz="4" w:space="0"/>
              <w:left w:val="nil"/>
              <w:bottom w:val="single" w:color="auto" w:sz="4" w:space="0"/>
              <w:right w:val="single" w:color="auto" w:sz="4" w:space="0"/>
            </w:tcBorders>
            <w:shd w:val="clear" w:color="auto" w:fill="auto"/>
            <w:vAlign w:val="center"/>
          </w:tcPr>
          <w:p w14:paraId="5C79D745">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工业大数据IDP系统</w:t>
            </w:r>
          </w:p>
        </w:tc>
        <w:tc>
          <w:tcPr>
            <w:tcW w:w="2724" w:type="dxa"/>
            <w:tcBorders>
              <w:top w:val="single" w:color="auto" w:sz="4" w:space="0"/>
              <w:left w:val="nil"/>
              <w:bottom w:val="single" w:color="auto" w:sz="4" w:space="0"/>
              <w:right w:val="single" w:color="auto" w:sz="4" w:space="0"/>
            </w:tcBorders>
            <w:vAlign w:val="center"/>
          </w:tcPr>
          <w:p w14:paraId="12D40C3D">
            <w:pPr>
              <w:keepNext w:val="0"/>
              <w:keepLines w:val="0"/>
              <w:widowControl/>
              <w:suppressLineNumbers w:val="0"/>
              <w:jc w:val="both"/>
              <w:textAlignment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数据来源于生产，服务于生产</w:t>
            </w:r>
          </w:p>
        </w:tc>
        <w:tc>
          <w:tcPr>
            <w:tcW w:w="3964" w:type="dxa"/>
            <w:tcBorders>
              <w:top w:val="single" w:color="auto" w:sz="4" w:space="0"/>
              <w:left w:val="nil"/>
              <w:bottom w:val="single" w:color="auto" w:sz="4" w:space="0"/>
              <w:right w:val="single" w:color="auto" w:sz="4" w:space="0"/>
            </w:tcBorders>
            <w:shd w:val="clear" w:color="auto" w:fill="auto"/>
            <w:vAlign w:val="center"/>
          </w:tcPr>
          <w:p w14:paraId="2A448A52">
            <w:pPr>
              <w:keepNext w:val="0"/>
              <w:keepLines w:val="0"/>
              <w:widowControl/>
              <w:suppressLineNumbers w:val="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数据分析、数据治理、数据可视化、企业经营作战指挥中心</w:t>
            </w:r>
            <w:r>
              <w:rPr>
                <w:rFonts w:hint="eastAsia" w:ascii="仿宋" w:hAnsi="仿宋" w:cs="仿宋"/>
                <w:i w:val="0"/>
                <w:iCs w:val="0"/>
                <w:color w:val="auto"/>
                <w:kern w:val="2"/>
                <w:sz w:val="24"/>
                <w:szCs w:val="24"/>
                <w:u w:val="none"/>
                <w:lang w:val="en-US" w:eastAsia="zh-CN" w:bidi="ar-SA"/>
              </w:rPr>
              <w:t>。</w:t>
            </w:r>
          </w:p>
        </w:tc>
        <w:tc>
          <w:tcPr>
            <w:tcW w:w="2037" w:type="dxa"/>
            <w:tcBorders>
              <w:top w:val="single" w:color="auto" w:sz="4" w:space="0"/>
              <w:left w:val="nil"/>
              <w:bottom w:val="single" w:color="auto" w:sz="4" w:space="0"/>
              <w:right w:val="single" w:color="auto" w:sz="4" w:space="0"/>
            </w:tcBorders>
            <w:shd w:val="clear" w:color="auto" w:fill="auto"/>
            <w:vAlign w:val="center"/>
          </w:tcPr>
          <w:p w14:paraId="208D7F7D">
            <w:pPr>
              <w:keepNext w:val="0"/>
              <w:keepLines w:val="0"/>
              <w:widowControl/>
              <w:suppressLineNumbers w:val="0"/>
              <w:jc w:val="center"/>
              <w:textAlignment w:val="center"/>
              <w:rPr>
                <w:rFonts w:hint="default"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20</w:t>
            </w:r>
            <w:r>
              <w:rPr>
                <w:rFonts w:hint="eastAsia" w:ascii="仿宋" w:hAnsi="仿宋" w:cs="仿宋"/>
                <w:i w:val="0"/>
                <w:iCs w:val="0"/>
                <w:color w:val="auto"/>
                <w:kern w:val="2"/>
                <w:sz w:val="24"/>
                <w:szCs w:val="24"/>
                <w:u w:val="none"/>
                <w:lang w:val="en-US" w:eastAsia="zh-CN" w:bidi="ar-SA"/>
              </w:rPr>
              <w:t>万元</w:t>
            </w:r>
            <w:r>
              <w:rPr>
                <w:rFonts w:hint="eastAsia" w:ascii="仿宋" w:hAnsi="仿宋" w:eastAsia="仿宋" w:cs="仿宋"/>
                <w:i w:val="0"/>
                <w:iCs w:val="0"/>
                <w:color w:val="auto"/>
                <w:kern w:val="2"/>
                <w:sz w:val="24"/>
                <w:szCs w:val="24"/>
                <w:u w:val="none"/>
                <w:lang w:val="en-US" w:eastAsia="zh-CN" w:bidi="ar-SA"/>
              </w:rPr>
              <w:t>-80万</w:t>
            </w:r>
            <w:r>
              <w:rPr>
                <w:rFonts w:hint="eastAsia" w:ascii="仿宋" w:hAnsi="仿宋" w:cs="仿宋"/>
                <w:i w:val="0"/>
                <w:iCs w:val="0"/>
                <w:color w:val="auto"/>
                <w:kern w:val="2"/>
                <w:sz w:val="24"/>
                <w:szCs w:val="24"/>
                <w:u w:val="none"/>
                <w:lang w:val="en-US" w:eastAsia="zh-CN" w:bidi="ar-SA"/>
              </w:rPr>
              <w:t>元</w:t>
            </w:r>
          </w:p>
        </w:tc>
        <w:tc>
          <w:tcPr>
            <w:tcW w:w="2842" w:type="dxa"/>
            <w:tcBorders>
              <w:top w:val="single" w:color="auto" w:sz="4" w:space="0"/>
              <w:left w:val="nil"/>
              <w:bottom w:val="single" w:color="auto" w:sz="4" w:space="0"/>
              <w:right w:val="single" w:color="auto" w:sz="4" w:space="0"/>
            </w:tcBorders>
            <w:vAlign w:val="center"/>
          </w:tcPr>
          <w:p w14:paraId="15150D72">
            <w:pPr>
              <w:widowControl/>
              <w:jc w:val="center"/>
              <w:textAlignment w:val="center"/>
              <w:rPr>
                <w:rFonts w:hint="eastAsia" w:ascii="仿宋" w:hAnsi="仿宋" w:eastAsia="仿宋" w:cs="仿宋"/>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r w14:paraId="31EE95FC">
        <w:tblPrEx>
          <w:tblCellMar>
            <w:top w:w="0" w:type="dxa"/>
            <w:left w:w="108" w:type="dxa"/>
            <w:bottom w:w="0" w:type="dxa"/>
            <w:right w:w="108" w:type="dxa"/>
          </w:tblCellMar>
        </w:tblPrEx>
        <w:trPr>
          <w:trHeight w:val="2131" w:hRule="atLeast"/>
        </w:trPr>
        <w:tc>
          <w:tcPr>
            <w:tcW w:w="713" w:type="dxa"/>
            <w:tcBorders>
              <w:top w:val="single" w:color="auto" w:sz="4" w:space="0"/>
              <w:left w:val="single" w:color="auto" w:sz="4" w:space="0"/>
              <w:bottom w:val="single" w:color="auto" w:sz="4" w:space="0"/>
              <w:right w:val="single" w:color="auto" w:sz="4" w:space="0"/>
            </w:tcBorders>
            <w:vAlign w:val="center"/>
          </w:tcPr>
          <w:p w14:paraId="734CE973">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8</w:t>
            </w:r>
          </w:p>
        </w:tc>
        <w:tc>
          <w:tcPr>
            <w:tcW w:w="1598" w:type="dxa"/>
            <w:tcBorders>
              <w:top w:val="single" w:color="auto" w:sz="4" w:space="0"/>
              <w:left w:val="nil"/>
              <w:bottom w:val="single" w:color="auto" w:sz="4" w:space="0"/>
              <w:right w:val="single" w:color="auto" w:sz="4" w:space="0"/>
            </w:tcBorders>
            <w:shd w:val="clear" w:color="auto" w:fill="auto"/>
            <w:vAlign w:val="center"/>
          </w:tcPr>
          <w:p w14:paraId="03469939">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生产运营管理平台MOM</w:t>
            </w:r>
          </w:p>
        </w:tc>
        <w:tc>
          <w:tcPr>
            <w:tcW w:w="2724" w:type="dxa"/>
            <w:tcBorders>
              <w:top w:val="single" w:color="auto" w:sz="4" w:space="0"/>
              <w:left w:val="nil"/>
              <w:bottom w:val="single" w:color="auto" w:sz="4" w:space="0"/>
              <w:right w:val="single" w:color="auto" w:sz="4" w:space="0"/>
            </w:tcBorders>
            <w:vAlign w:val="center"/>
          </w:tcPr>
          <w:p w14:paraId="34BABF35">
            <w:pPr>
              <w:keepNext w:val="0"/>
              <w:keepLines w:val="0"/>
              <w:widowControl/>
              <w:suppressLineNumbers w:val="0"/>
              <w:jc w:val="both"/>
              <w:textAlignment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解决生产数据孤岛、实时监控不足、生产计划协同不畅、设备利用率低、质量管理不规范、缺乏数据分析优化等问题，提升整体运营效率和决策能力</w:t>
            </w:r>
          </w:p>
        </w:tc>
        <w:tc>
          <w:tcPr>
            <w:tcW w:w="3964" w:type="dxa"/>
            <w:tcBorders>
              <w:top w:val="single" w:color="auto" w:sz="4" w:space="0"/>
              <w:left w:val="nil"/>
              <w:bottom w:val="single" w:color="auto" w:sz="4" w:space="0"/>
              <w:right w:val="single" w:color="auto" w:sz="4" w:space="0"/>
            </w:tcBorders>
            <w:shd w:val="clear" w:color="auto" w:fill="auto"/>
            <w:vAlign w:val="center"/>
          </w:tcPr>
          <w:p w14:paraId="55C4B6DA">
            <w:pPr>
              <w:keepNext w:val="0"/>
              <w:keepLines w:val="0"/>
              <w:widowControl/>
              <w:suppressLineNumbers w:val="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制造企业的生产执行管理、质量控制与追溯、设备维护与管理、人力资源调度与工时管理、数据采集与分析、订单管理和生产计划的优化执行等。</w:t>
            </w:r>
          </w:p>
        </w:tc>
        <w:tc>
          <w:tcPr>
            <w:tcW w:w="2037" w:type="dxa"/>
            <w:tcBorders>
              <w:top w:val="single" w:color="auto" w:sz="4" w:space="0"/>
              <w:left w:val="nil"/>
              <w:bottom w:val="single" w:color="auto" w:sz="4" w:space="0"/>
              <w:right w:val="single" w:color="auto" w:sz="4" w:space="0"/>
            </w:tcBorders>
            <w:shd w:val="clear" w:color="auto" w:fill="auto"/>
            <w:vAlign w:val="center"/>
          </w:tcPr>
          <w:p w14:paraId="3A05A6DA">
            <w:pPr>
              <w:keepNext w:val="0"/>
              <w:keepLines w:val="0"/>
              <w:widowControl/>
              <w:suppressLineNumbers w:val="0"/>
              <w:jc w:val="center"/>
              <w:textAlignment w:val="center"/>
              <w:rPr>
                <w:rFonts w:hint="default"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80</w:t>
            </w:r>
            <w:r>
              <w:rPr>
                <w:rFonts w:hint="eastAsia" w:ascii="仿宋" w:hAnsi="仿宋" w:cs="仿宋"/>
                <w:i w:val="0"/>
                <w:iCs w:val="0"/>
                <w:color w:val="auto"/>
                <w:kern w:val="2"/>
                <w:sz w:val="24"/>
                <w:szCs w:val="24"/>
                <w:u w:val="none"/>
                <w:lang w:val="en-US" w:eastAsia="zh-CN" w:bidi="ar-SA"/>
              </w:rPr>
              <w:t>万元</w:t>
            </w:r>
            <w:r>
              <w:rPr>
                <w:rFonts w:hint="eastAsia" w:ascii="仿宋" w:hAnsi="仿宋" w:eastAsia="仿宋" w:cs="仿宋"/>
                <w:i w:val="0"/>
                <w:iCs w:val="0"/>
                <w:color w:val="auto"/>
                <w:kern w:val="2"/>
                <w:sz w:val="24"/>
                <w:szCs w:val="24"/>
                <w:u w:val="none"/>
                <w:lang w:val="en-US" w:eastAsia="zh-CN" w:bidi="ar-SA"/>
              </w:rPr>
              <w:t>-100万</w:t>
            </w:r>
            <w:r>
              <w:rPr>
                <w:rFonts w:hint="eastAsia" w:ascii="仿宋" w:hAnsi="仿宋" w:cs="仿宋"/>
                <w:i w:val="0"/>
                <w:iCs w:val="0"/>
                <w:color w:val="auto"/>
                <w:kern w:val="2"/>
                <w:sz w:val="24"/>
                <w:szCs w:val="24"/>
                <w:u w:val="none"/>
                <w:lang w:val="en-US" w:eastAsia="zh-CN" w:bidi="ar-SA"/>
              </w:rPr>
              <w:t>元</w:t>
            </w:r>
          </w:p>
        </w:tc>
        <w:tc>
          <w:tcPr>
            <w:tcW w:w="2842" w:type="dxa"/>
            <w:tcBorders>
              <w:top w:val="single" w:color="auto" w:sz="4" w:space="0"/>
              <w:left w:val="nil"/>
              <w:bottom w:val="single" w:color="auto" w:sz="4" w:space="0"/>
              <w:right w:val="single" w:color="auto" w:sz="4" w:space="0"/>
            </w:tcBorders>
            <w:vAlign w:val="center"/>
          </w:tcPr>
          <w:p w14:paraId="703C867B">
            <w:pPr>
              <w:widowControl/>
              <w:jc w:val="center"/>
              <w:textAlignment w:val="center"/>
              <w:rPr>
                <w:rFonts w:hint="eastAsia" w:ascii="仿宋" w:hAnsi="仿宋" w:eastAsia="仿宋" w:cs="仿宋"/>
                <w:color w:val="auto"/>
                <w:kern w:val="0"/>
                <w:sz w:val="24"/>
                <w:szCs w:val="24"/>
              </w:rPr>
            </w:pPr>
            <w:r>
              <w:rPr>
                <w:rFonts w:hint="eastAsia" w:ascii="仿宋_GB2312" w:hAnsi="仿宋_GB2312" w:eastAsia="仿宋_GB2312" w:cs="仿宋_GB2312"/>
                <w:color w:val="auto"/>
                <w:kern w:val="0"/>
                <w:sz w:val="24"/>
                <w:szCs w:val="24"/>
                <w:lang w:val="en-US" w:eastAsia="zh-CN"/>
              </w:rPr>
              <w:t>新增</w:t>
            </w:r>
          </w:p>
        </w:tc>
      </w:tr>
    </w:tbl>
    <w:p w14:paraId="72F5156C">
      <w:pPr>
        <w:pStyle w:val="2"/>
        <w:rPr>
          <w:rFonts w:hint="eastAsia" w:ascii="仿宋_GB2312" w:hAnsi="仿宋_GB2312" w:eastAsia="仿宋_GB2312" w:cs="仿宋_GB2312"/>
          <w:bCs/>
          <w:sz w:val="32"/>
          <w:szCs w:val="32"/>
        </w:rPr>
      </w:pPr>
    </w:p>
    <w:p w14:paraId="1F4BCFB3">
      <w:pPr>
        <w:pStyle w:val="2"/>
        <w:rPr>
          <w:rFonts w:hint="eastAsia" w:ascii="仿宋_GB2312" w:hAnsi="仿宋_GB2312" w:eastAsia="仿宋_GB2312" w:cs="仿宋_GB2312"/>
          <w:bCs/>
          <w:sz w:val="32"/>
          <w:szCs w:val="32"/>
        </w:rPr>
      </w:pPr>
    </w:p>
    <w:p w14:paraId="76501CB6">
      <w:pPr>
        <w:pStyle w:val="2"/>
        <w:rPr>
          <w:rFonts w:hint="eastAsia" w:ascii="仿宋_GB2312" w:hAnsi="仿宋_GB2312" w:eastAsia="仿宋_GB2312" w:cs="仿宋_GB2312"/>
          <w:bCs/>
          <w:sz w:val="32"/>
          <w:szCs w:val="32"/>
        </w:rPr>
      </w:pPr>
    </w:p>
    <w:p w14:paraId="1AE327C5">
      <w:pPr>
        <w:pStyle w:val="2"/>
        <w:rPr>
          <w:rFonts w:hint="eastAsia" w:ascii="仿宋_GB2312" w:hAnsi="仿宋_GB2312" w:eastAsia="仿宋_GB2312" w:cs="仿宋_GB2312"/>
          <w:bCs/>
          <w:sz w:val="32"/>
          <w:szCs w:val="32"/>
        </w:rPr>
      </w:pPr>
    </w:p>
    <w:p w14:paraId="16B5EEF0">
      <w:pPr>
        <w:pStyle w:val="2"/>
        <w:rPr>
          <w:rFonts w:hint="eastAsia" w:ascii="仿宋_GB2312" w:hAnsi="仿宋_GB2312" w:eastAsia="仿宋_GB2312" w:cs="仿宋_GB2312"/>
          <w:bCs/>
          <w:sz w:val="32"/>
          <w:szCs w:val="32"/>
        </w:rPr>
      </w:pPr>
    </w:p>
    <w:p w14:paraId="4CE172CD">
      <w:pPr>
        <w:pStyle w:val="2"/>
        <w:rPr>
          <w:rFonts w:hint="eastAsia" w:ascii="仿宋_GB2312" w:hAnsi="仿宋_GB2312" w:eastAsia="仿宋_GB2312" w:cs="仿宋_GB2312"/>
          <w:bCs/>
          <w:sz w:val="32"/>
          <w:szCs w:val="32"/>
        </w:rPr>
      </w:pPr>
    </w:p>
    <w:p w14:paraId="7363FBE8">
      <w:pPr>
        <w:pStyle w:val="2"/>
        <w:rPr>
          <w:rFonts w:hint="eastAsia" w:ascii="仿宋_GB2312" w:hAnsi="仿宋_GB2312" w:eastAsia="仿宋_GB2312" w:cs="仿宋_GB2312"/>
          <w:bCs/>
          <w:sz w:val="32"/>
          <w:szCs w:val="32"/>
        </w:rPr>
      </w:pPr>
    </w:p>
    <w:p w14:paraId="13EA40E7">
      <w:pPr>
        <w:pStyle w:val="2"/>
        <w:rPr>
          <w:rFonts w:hint="eastAsia" w:ascii="仿宋_GB2312" w:hAnsi="仿宋_GB2312" w:eastAsia="仿宋_GB2312" w:cs="仿宋_GB2312"/>
          <w:bCs/>
          <w:sz w:val="32"/>
          <w:szCs w:val="32"/>
        </w:rPr>
      </w:pPr>
    </w:p>
    <w:p w14:paraId="047B5148">
      <w:pPr>
        <w:pStyle w:val="2"/>
        <w:rPr>
          <w:rFonts w:hint="eastAsia" w:ascii="仿宋_GB2312" w:hAnsi="仿宋_GB2312" w:eastAsia="仿宋_GB2312" w:cs="仿宋_GB2312"/>
          <w:bCs/>
          <w:sz w:val="32"/>
          <w:szCs w:val="32"/>
        </w:rPr>
      </w:pPr>
    </w:p>
    <w:p w14:paraId="3118ECC0">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w:t>
      </w:r>
      <w:r>
        <w:rPr>
          <w:rFonts w:hint="eastAsia" w:ascii="仿宋_GB2312" w:hAnsi="仿宋_GB2312" w:eastAsia="仿宋_GB2312" w:cs="仿宋_GB2312"/>
          <w:bCs/>
          <w:sz w:val="32"/>
          <w:szCs w:val="32"/>
          <w:lang w:val="en-US" w:eastAsia="zh-CN"/>
        </w:rPr>
        <w:t>五</w:t>
      </w:r>
      <w:r>
        <w:rPr>
          <w:rFonts w:hint="eastAsia" w:ascii="仿宋_GB2312" w:hAnsi="仿宋_GB2312" w:eastAsia="仿宋_GB2312" w:cs="仿宋_GB2312"/>
          <w:bCs/>
          <w:sz w:val="32"/>
          <w:szCs w:val="32"/>
        </w:rPr>
        <w:t>）联合体成员：</w:t>
      </w:r>
      <w:r>
        <w:rPr>
          <w:rFonts w:hint="eastAsia" w:ascii="仿宋_GB2312" w:hAnsi="仿宋_GB2312" w:eastAsia="仿宋_GB2312" w:cs="仿宋_GB2312"/>
          <w:bCs/>
          <w:sz w:val="32"/>
          <w:szCs w:val="32"/>
          <w:lang w:val="en-US" w:eastAsia="zh-CN"/>
        </w:rPr>
        <w:t>佛山市蝶昇信息科技有限公司</w:t>
      </w:r>
      <w:r>
        <w:rPr>
          <w:rFonts w:hint="eastAsia" w:ascii="仿宋_GB2312" w:hAnsi="仿宋_GB2312" w:eastAsia="仿宋_GB2312" w:cs="仿宋_GB2312"/>
          <w:bCs/>
          <w:sz w:val="32"/>
          <w:szCs w:val="32"/>
        </w:rPr>
        <w:t>/广东腾一科技有限公司</w:t>
      </w:r>
    </w:p>
    <w:tbl>
      <w:tblPr>
        <w:tblStyle w:val="14"/>
        <w:tblW w:w="0" w:type="auto"/>
        <w:tblInd w:w="113" w:type="dxa"/>
        <w:tblLayout w:type="autofit"/>
        <w:tblCellMar>
          <w:top w:w="0" w:type="dxa"/>
          <w:left w:w="108" w:type="dxa"/>
          <w:bottom w:w="0" w:type="dxa"/>
          <w:right w:w="108" w:type="dxa"/>
        </w:tblCellMar>
      </w:tblPr>
      <w:tblGrid>
        <w:gridCol w:w="713"/>
        <w:gridCol w:w="1598"/>
        <w:gridCol w:w="2724"/>
        <w:gridCol w:w="3964"/>
        <w:gridCol w:w="2037"/>
        <w:gridCol w:w="2842"/>
      </w:tblGrid>
      <w:tr w14:paraId="7515A7EB">
        <w:tblPrEx>
          <w:tblCellMar>
            <w:top w:w="0" w:type="dxa"/>
            <w:left w:w="108" w:type="dxa"/>
            <w:bottom w:w="0" w:type="dxa"/>
            <w:right w:w="108" w:type="dxa"/>
          </w:tblCellMar>
        </w:tblPrEx>
        <w:trPr>
          <w:trHeight w:val="788" w:hRule="atLeast"/>
        </w:trPr>
        <w:tc>
          <w:tcPr>
            <w:tcW w:w="713" w:type="dxa"/>
            <w:tcBorders>
              <w:top w:val="single" w:color="auto" w:sz="4" w:space="0"/>
              <w:left w:val="single" w:color="auto" w:sz="4" w:space="0"/>
              <w:bottom w:val="single" w:color="auto" w:sz="4" w:space="0"/>
              <w:right w:val="single" w:color="auto" w:sz="4" w:space="0"/>
            </w:tcBorders>
            <w:vAlign w:val="center"/>
          </w:tcPr>
          <w:p w14:paraId="59311163">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98" w:type="dxa"/>
            <w:tcBorders>
              <w:top w:val="single" w:color="auto" w:sz="4" w:space="0"/>
              <w:left w:val="nil"/>
              <w:bottom w:val="single" w:color="auto" w:sz="4" w:space="0"/>
              <w:right w:val="single" w:color="auto" w:sz="4" w:space="0"/>
            </w:tcBorders>
            <w:vAlign w:val="center"/>
          </w:tcPr>
          <w:p w14:paraId="6C4BE022">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724" w:type="dxa"/>
            <w:tcBorders>
              <w:top w:val="single" w:color="auto" w:sz="4" w:space="0"/>
              <w:left w:val="nil"/>
              <w:bottom w:val="single" w:color="auto" w:sz="4" w:space="0"/>
              <w:right w:val="single" w:color="auto" w:sz="4" w:space="0"/>
            </w:tcBorders>
            <w:vAlign w:val="center"/>
          </w:tcPr>
          <w:p w14:paraId="77F37656">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964" w:type="dxa"/>
            <w:tcBorders>
              <w:top w:val="single" w:color="auto" w:sz="4" w:space="0"/>
              <w:left w:val="nil"/>
              <w:bottom w:val="single" w:color="auto" w:sz="4" w:space="0"/>
              <w:right w:val="single" w:color="auto" w:sz="4" w:space="0"/>
            </w:tcBorders>
            <w:vAlign w:val="center"/>
          </w:tcPr>
          <w:p w14:paraId="1EF7076B">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2037" w:type="dxa"/>
            <w:tcBorders>
              <w:top w:val="single" w:color="auto" w:sz="4" w:space="0"/>
              <w:left w:val="nil"/>
              <w:bottom w:val="single" w:color="auto" w:sz="4" w:space="0"/>
              <w:right w:val="single" w:color="auto" w:sz="4" w:space="0"/>
            </w:tcBorders>
            <w:vAlign w:val="center"/>
          </w:tcPr>
          <w:p w14:paraId="2387AE16">
            <w:pPr>
              <w:widowControl/>
              <w:jc w:val="center"/>
              <w:rPr>
                <w:rFonts w:hint="eastAsia"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842" w:type="dxa"/>
            <w:tcBorders>
              <w:top w:val="single" w:color="auto" w:sz="4" w:space="0"/>
              <w:left w:val="nil"/>
              <w:bottom w:val="single" w:color="auto" w:sz="4" w:space="0"/>
              <w:right w:val="single" w:color="auto" w:sz="4" w:space="0"/>
            </w:tcBorders>
            <w:vAlign w:val="center"/>
          </w:tcPr>
          <w:p w14:paraId="1AD21F1F">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1F43288A">
        <w:tblPrEx>
          <w:tblCellMar>
            <w:top w:w="0" w:type="dxa"/>
            <w:left w:w="108" w:type="dxa"/>
            <w:bottom w:w="0" w:type="dxa"/>
            <w:right w:w="108" w:type="dxa"/>
          </w:tblCellMar>
        </w:tblPrEx>
        <w:trPr>
          <w:trHeight w:val="1090" w:hRule="atLeast"/>
        </w:trPr>
        <w:tc>
          <w:tcPr>
            <w:tcW w:w="713" w:type="dxa"/>
            <w:tcBorders>
              <w:top w:val="single" w:color="auto" w:sz="4" w:space="0"/>
              <w:left w:val="single" w:color="auto" w:sz="4" w:space="0"/>
              <w:bottom w:val="single" w:color="auto" w:sz="4" w:space="0"/>
              <w:right w:val="single" w:color="auto" w:sz="4" w:space="0"/>
            </w:tcBorders>
            <w:vAlign w:val="center"/>
          </w:tcPr>
          <w:p w14:paraId="6648B805">
            <w:pPr>
              <w:widowControl/>
              <w:numPr>
                <w:ilvl w:val="0"/>
                <w:numId w:val="0"/>
              </w:numPr>
              <w:ind w:leftChars="0"/>
              <w:jc w:val="center"/>
              <w:textAlignment w:val="center"/>
              <w:rPr>
                <w:rFonts w:hint="default"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1</w:t>
            </w:r>
          </w:p>
        </w:tc>
        <w:tc>
          <w:tcPr>
            <w:tcW w:w="1598" w:type="dxa"/>
            <w:tcBorders>
              <w:top w:val="single" w:color="auto" w:sz="4" w:space="0"/>
              <w:left w:val="nil"/>
              <w:bottom w:val="single" w:color="auto" w:sz="4" w:space="0"/>
              <w:right w:val="single" w:color="auto" w:sz="4" w:space="0"/>
            </w:tcBorders>
            <w:vAlign w:val="center"/>
          </w:tcPr>
          <w:p w14:paraId="295BC526">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金蝶云星空</w:t>
            </w:r>
          </w:p>
        </w:tc>
        <w:tc>
          <w:tcPr>
            <w:tcW w:w="2724" w:type="dxa"/>
            <w:tcBorders>
              <w:top w:val="single" w:color="auto" w:sz="4" w:space="0"/>
              <w:left w:val="nil"/>
              <w:bottom w:val="single" w:color="auto" w:sz="4" w:space="0"/>
              <w:right w:val="single" w:color="auto" w:sz="4" w:space="0"/>
            </w:tcBorders>
            <w:shd w:val="clear" w:color="auto" w:fill="auto"/>
            <w:vAlign w:val="center"/>
          </w:tcPr>
          <w:p w14:paraId="1C8FFE79">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金蝶云·星空通过数据和智能助力高成长型企业韧性成长，帮助企业从ERP资源计划力向EBC数字战斗力转变，实现数字化转型以及管理重构；</w:t>
            </w:r>
          </w:p>
        </w:tc>
        <w:tc>
          <w:tcPr>
            <w:tcW w:w="3964" w:type="dxa"/>
            <w:tcBorders>
              <w:top w:val="single" w:color="auto" w:sz="4" w:space="0"/>
              <w:left w:val="nil"/>
              <w:bottom w:val="single" w:color="auto" w:sz="4" w:space="0"/>
              <w:right w:val="single" w:color="auto" w:sz="4" w:space="0"/>
            </w:tcBorders>
            <w:vAlign w:val="center"/>
          </w:tcPr>
          <w:p w14:paraId="6993DA88">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基于金蝶云·苍穹平台构建，依托全栈云原生、一体化低代码、中台架构、AI等新技术；助力企业实现财务云、供应链云、制造云、条码云、PLM云、税务云、项目云、数据智能云等全业务领域上云；</w:t>
            </w:r>
          </w:p>
          <w:p w14:paraId="6C43A3D2">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助力装备制造企业实现业财一体化，财务、供应链、项目式制造、项目式成本管理落地；</w:t>
            </w:r>
          </w:p>
        </w:tc>
        <w:tc>
          <w:tcPr>
            <w:tcW w:w="2037" w:type="dxa"/>
            <w:tcBorders>
              <w:top w:val="single" w:color="auto" w:sz="4" w:space="0"/>
              <w:left w:val="nil"/>
              <w:bottom w:val="single" w:color="auto" w:sz="4" w:space="0"/>
              <w:right w:val="single" w:color="auto" w:sz="4" w:space="0"/>
            </w:tcBorders>
            <w:shd w:val="clear" w:color="auto" w:fill="auto"/>
            <w:vAlign w:val="center"/>
          </w:tcPr>
          <w:p w14:paraId="6AB983D0">
            <w:pPr>
              <w:widowControl/>
              <w:numPr>
                <w:ilvl w:val="0"/>
                <w:numId w:val="0"/>
              </w:numPr>
              <w:ind w:leftChars="0"/>
              <w:jc w:val="center"/>
              <w:textAlignment w:val="center"/>
              <w:rPr>
                <w:rFonts w:hint="default"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10万元-100万元</w:t>
            </w:r>
          </w:p>
        </w:tc>
        <w:tc>
          <w:tcPr>
            <w:tcW w:w="2842" w:type="dxa"/>
            <w:tcBorders>
              <w:top w:val="single" w:color="auto" w:sz="4" w:space="0"/>
              <w:left w:val="nil"/>
              <w:bottom w:val="single" w:color="auto" w:sz="4" w:space="0"/>
              <w:right w:val="single" w:color="auto" w:sz="4" w:space="0"/>
            </w:tcBorders>
            <w:vAlign w:val="center"/>
          </w:tcPr>
          <w:p w14:paraId="5B68EA79">
            <w:pPr>
              <w:widowControl/>
              <w:numPr>
                <w:ilvl w:val="0"/>
                <w:numId w:val="0"/>
              </w:numPr>
              <w:ind w:leftChars="0"/>
              <w:jc w:val="center"/>
              <w:textAlignment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新增</w:t>
            </w:r>
          </w:p>
        </w:tc>
      </w:tr>
    </w:tbl>
    <w:p w14:paraId="6B28DD81">
      <w:pPr>
        <w:pStyle w:val="2"/>
        <w:rPr>
          <w:rFonts w:hint="eastAsia" w:ascii="仿宋_GB2312" w:hAnsi="仿宋_GB2312" w:eastAsia="仿宋_GB2312" w:cs="仿宋_GB2312"/>
          <w:bCs/>
          <w:sz w:val="32"/>
          <w:szCs w:val="32"/>
        </w:rPr>
      </w:pPr>
    </w:p>
    <w:p w14:paraId="54BBDA87">
      <w:pPr>
        <w:pStyle w:val="2"/>
        <w:rPr>
          <w:rFonts w:hint="eastAsia" w:ascii="仿宋_GB2312" w:hAnsi="仿宋_GB2312" w:eastAsia="仿宋_GB2312" w:cs="仿宋_GB2312"/>
          <w:bCs/>
          <w:sz w:val="32"/>
          <w:szCs w:val="32"/>
        </w:rPr>
      </w:pPr>
    </w:p>
    <w:p w14:paraId="589AFE2B">
      <w:pPr>
        <w:pStyle w:val="2"/>
        <w:rPr>
          <w:rFonts w:hint="eastAsia" w:ascii="仿宋_GB2312" w:hAnsi="仿宋_GB2312" w:eastAsia="仿宋_GB2312" w:cs="仿宋_GB2312"/>
          <w:bCs/>
          <w:sz w:val="32"/>
          <w:szCs w:val="32"/>
        </w:rPr>
      </w:pPr>
    </w:p>
    <w:p w14:paraId="3CCE7FEA">
      <w:pPr>
        <w:pStyle w:val="2"/>
        <w:rPr>
          <w:rFonts w:hint="eastAsia" w:ascii="仿宋_GB2312" w:hAnsi="仿宋_GB2312" w:eastAsia="仿宋_GB2312" w:cs="仿宋_GB2312"/>
          <w:bCs/>
          <w:sz w:val="32"/>
          <w:szCs w:val="32"/>
        </w:rPr>
      </w:pPr>
    </w:p>
    <w:p w14:paraId="291F447F">
      <w:pPr>
        <w:pStyle w:val="2"/>
        <w:rPr>
          <w:rFonts w:hint="eastAsia" w:ascii="仿宋_GB2312" w:hAnsi="仿宋_GB2312" w:eastAsia="仿宋_GB2312" w:cs="仿宋_GB2312"/>
          <w:bCs/>
          <w:sz w:val="32"/>
          <w:szCs w:val="32"/>
        </w:rPr>
      </w:pPr>
    </w:p>
    <w:p w14:paraId="20F0069A">
      <w:pPr>
        <w:pStyle w:val="2"/>
        <w:rPr>
          <w:rFonts w:hint="eastAsia" w:ascii="仿宋_GB2312" w:hAnsi="仿宋_GB2312" w:eastAsia="仿宋_GB2312" w:cs="仿宋_GB2312"/>
          <w:bCs/>
          <w:sz w:val="32"/>
          <w:szCs w:val="32"/>
        </w:rPr>
      </w:pPr>
    </w:p>
    <w:p w14:paraId="59C7B890">
      <w:pPr>
        <w:pStyle w:val="2"/>
        <w:rPr>
          <w:rFonts w:hint="eastAsia" w:ascii="仿宋_GB2312" w:hAnsi="仿宋_GB2312" w:eastAsia="仿宋_GB2312" w:cs="仿宋_GB2312"/>
          <w:bCs/>
          <w:sz w:val="32"/>
          <w:szCs w:val="32"/>
        </w:rPr>
      </w:pPr>
    </w:p>
    <w:p w14:paraId="60AFBE76">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w:t>
      </w:r>
      <w:r>
        <w:rPr>
          <w:rFonts w:hint="eastAsia" w:ascii="仿宋_GB2312" w:hAnsi="仿宋_GB2312" w:eastAsia="仿宋_GB2312" w:cs="仿宋_GB2312"/>
          <w:bCs/>
          <w:sz w:val="32"/>
          <w:szCs w:val="32"/>
          <w:lang w:val="en-US" w:eastAsia="zh-CN"/>
        </w:rPr>
        <w:t>六</w:t>
      </w:r>
      <w:r>
        <w:rPr>
          <w:rFonts w:hint="eastAsia" w:ascii="仿宋_GB2312" w:hAnsi="仿宋_GB2312" w:eastAsia="仿宋_GB2312" w:cs="仿宋_GB2312"/>
          <w:bCs/>
          <w:sz w:val="32"/>
          <w:szCs w:val="32"/>
        </w:rPr>
        <w:t>）联合体成员：金蝶软件（中国）有限公司佛山分公司/广东腾一科技有限公司</w:t>
      </w:r>
    </w:p>
    <w:tbl>
      <w:tblPr>
        <w:tblStyle w:val="14"/>
        <w:tblW w:w="0" w:type="auto"/>
        <w:tblInd w:w="113" w:type="dxa"/>
        <w:tblLayout w:type="autofit"/>
        <w:tblCellMar>
          <w:top w:w="0" w:type="dxa"/>
          <w:left w:w="108" w:type="dxa"/>
          <w:bottom w:w="0" w:type="dxa"/>
          <w:right w:w="108" w:type="dxa"/>
        </w:tblCellMar>
      </w:tblPr>
      <w:tblGrid>
        <w:gridCol w:w="715"/>
        <w:gridCol w:w="1602"/>
        <w:gridCol w:w="2613"/>
        <w:gridCol w:w="4092"/>
        <w:gridCol w:w="2043"/>
        <w:gridCol w:w="2850"/>
      </w:tblGrid>
      <w:tr w14:paraId="0A589080">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66AE2EE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602" w:type="dxa"/>
            <w:tcBorders>
              <w:top w:val="single" w:color="auto" w:sz="4" w:space="0"/>
              <w:left w:val="nil"/>
              <w:bottom w:val="single" w:color="auto" w:sz="4" w:space="0"/>
              <w:right w:val="single" w:color="auto" w:sz="4" w:space="0"/>
            </w:tcBorders>
            <w:vAlign w:val="center"/>
          </w:tcPr>
          <w:p w14:paraId="156B2BC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613" w:type="dxa"/>
            <w:tcBorders>
              <w:top w:val="single" w:color="auto" w:sz="4" w:space="0"/>
              <w:left w:val="nil"/>
              <w:bottom w:val="single" w:color="auto" w:sz="4" w:space="0"/>
              <w:right w:val="single" w:color="auto" w:sz="4" w:space="0"/>
            </w:tcBorders>
            <w:vAlign w:val="center"/>
          </w:tcPr>
          <w:p w14:paraId="76CFAEA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092" w:type="dxa"/>
            <w:tcBorders>
              <w:top w:val="single" w:color="auto" w:sz="4" w:space="0"/>
              <w:left w:val="nil"/>
              <w:bottom w:val="single" w:color="auto" w:sz="4" w:space="0"/>
              <w:right w:val="single" w:color="auto" w:sz="4" w:space="0"/>
            </w:tcBorders>
            <w:vAlign w:val="center"/>
          </w:tcPr>
          <w:p w14:paraId="66664D4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043" w:type="dxa"/>
            <w:tcBorders>
              <w:top w:val="single" w:color="auto" w:sz="4" w:space="0"/>
              <w:left w:val="nil"/>
              <w:bottom w:val="single" w:color="auto" w:sz="4" w:space="0"/>
              <w:right w:val="single" w:color="auto" w:sz="4" w:space="0"/>
            </w:tcBorders>
            <w:vAlign w:val="center"/>
          </w:tcPr>
          <w:p w14:paraId="0B3DA97B">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850" w:type="dxa"/>
            <w:tcBorders>
              <w:top w:val="single" w:color="auto" w:sz="4" w:space="0"/>
              <w:left w:val="nil"/>
              <w:bottom w:val="single" w:color="auto" w:sz="4" w:space="0"/>
              <w:right w:val="single" w:color="auto" w:sz="4" w:space="0"/>
            </w:tcBorders>
            <w:vAlign w:val="center"/>
          </w:tcPr>
          <w:p w14:paraId="143E2EE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729DBB0">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3BCA829B">
            <w:pPr>
              <w:widowControl/>
              <w:numPr>
                <w:ilvl w:val="0"/>
                <w:numId w:val="5"/>
              </w:numPr>
              <w:jc w:val="center"/>
              <w:textAlignment w:val="center"/>
              <w:rPr>
                <w:rFonts w:hint="eastAsia" w:ascii="仿宋" w:hAnsi="仿宋" w:eastAsia="仿宋" w:cs="仿宋"/>
                <w:b w:val="0"/>
                <w:bCs w:val="0"/>
                <w:color w:val="auto"/>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65088D9B">
            <w:pPr>
              <w:widowControl/>
              <w:adjustRightInd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金蝶云星空</w:t>
            </w:r>
          </w:p>
        </w:tc>
        <w:tc>
          <w:tcPr>
            <w:tcW w:w="2613" w:type="dxa"/>
            <w:tcBorders>
              <w:top w:val="single" w:color="auto" w:sz="4" w:space="0"/>
              <w:left w:val="nil"/>
              <w:bottom w:val="single" w:color="auto" w:sz="4" w:space="0"/>
              <w:right w:val="single" w:color="auto" w:sz="4" w:space="0"/>
            </w:tcBorders>
            <w:shd w:val="clear" w:color="auto" w:fill="auto"/>
            <w:vAlign w:val="center"/>
          </w:tcPr>
          <w:p w14:paraId="5485F191">
            <w:pPr>
              <w:keepNext w:val="0"/>
              <w:keepLines w:val="0"/>
              <w:widowControl/>
              <w:suppressLineNumbers w:val="0"/>
              <w:jc w:val="left"/>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面向库存式或订单式生产的制造企业，实现进销存、生产制造、财务等全面的企业经营管理。</w:t>
            </w:r>
          </w:p>
        </w:tc>
        <w:tc>
          <w:tcPr>
            <w:tcW w:w="4092" w:type="dxa"/>
            <w:tcBorders>
              <w:top w:val="single" w:color="auto" w:sz="4" w:space="0"/>
              <w:left w:val="nil"/>
              <w:bottom w:val="single" w:color="auto" w:sz="4" w:space="0"/>
              <w:right w:val="single" w:color="auto" w:sz="4" w:space="0"/>
            </w:tcBorders>
            <w:shd w:val="clear" w:color="auto" w:fill="auto"/>
            <w:vAlign w:val="center"/>
          </w:tcPr>
          <w:p w14:paraId="7DB6CBFF">
            <w:pPr>
              <w:keepNext w:val="0"/>
              <w:keepLines w:val="0"/>
              <w:widowControl/>
              <w:suppressLineNumbers w:val="0"/>
              <w:jc w:val="left"/>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从销售接单，到生产计划、物料采购、仓库进出料管理、质量管理、财务与成本核算，使企业管理更加灵活的面对供需变动。掌握准确及时、完整信息的基础上，做出正确决策，采取准确管理的措施。</w:t>
            </w:r>
          </w:p>
        </w:tc>
        <w:tc>
          <w:tcPr>
            <w:tcW w:w="2043" w:type="dxa"/>
            <w:tcBorders>
              <w:top w:val="single" w:color="auto" w:sz="4" w:space="0"/>
              <w:left w:val="nil"/>
              <w:bottom w:val="single" w:color="auto" w:sz="4" w:space="0"/>
              <w:right w:val="single" w:color="auto" w:sz="4" w:space="0"/>
            </w:tcBorders>
            <w:shd w:val="clear" w:color="auto" w:fill="auto"/>
            <w:vAlign w:val="center"/>
          </w:tcPr>
          <w:p w14:paraId="1279190B">
            <w:pPr>
              <w:widowControl/>
              <w:adjustRightInd w:val="0"/>
              <w:snapToGrid w:val="0"/>
              <w:jc w:val="center"/>
              <w:textAlignment w:val="center"/>
              <w:rPr>
                <w:rFonts w:hint="default"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eastAsia="zh-Hans" w:bidi="ar"/>
              </w:rPr>
              <w:t>5</w:t>
            </w:r>
            <w:r>
              <w:rPr>
                <w:rFonts w:hint="eastAsia" w:ascii="仿宋" w:hAnsi="仿宋" w:cs="仿宋"/>
                <w:b w:val="0"/>
                <w:bCs w:val="0"/>
                <w:color w:val="auto"/>
                <w:kern w:val="0"/>
                <w:sz w:val="24"/>
                <w:szCs w:val="24"/>
                <w:lang w:val="en-US" w:eastAsia="zh-CN" w:bidi="ar"/>
              </w:rPr>
              <w:t>万元</w:t>
            </w:r>
            <w:r>
              <w:rPr>
                <w:rFonts w:hint="eastAsia" w:ascii="仿宋" w:hAnsi="仿宋" w:eastAsia="仿宋" w:cs="仿宋"/>
                <w:b w:val="0"/>
                <w:bCs w:val="0"/>
                <w:color w:val="auto"/>
                <w:kern w:val="0"/>
                <w:sz w:val="24"/>
                <w:szCs w:val="24"/>
                <w:lang w:eastAsia="zh-Hans" w:bidi="ar"/>
              </w:rPr>
              <w:t>-50万</w:t>
            </w:r>
            <w:r>
              <w:rPr>
                <w:rFonts w:hint="eastAsia" w:ascii="仿宋" w:hAnsi="仿宋" w:cs="仿宋"/>
                <w:b w:val="0"/>
                <w:bCs w:val="0"/>
                <w:color w:val="auto"/>
                <w:kern w:val="0"/>
                <w:sz w:val="24"/>
                <w:szCs w:val="24"/>
                <w:lang w:val="en-US" w:eastAsia="zh-CN" w:bidi="ar"/>
              </w:rPr>
              <w:t xml:space="preserve">元 </w:t>
            </w:r>
          </w:p>
        </w:tc>
        <w:tc>
          <w:tcPr>
            <w:tcW w:w="2850" w:type="dxa"/>
            <w:tcBorders>
              <w:top w:val="single" w:color="auto" w:sz="4" w:space="0"/>
              <w:left w:val="nil"/>
              <w:bottom w:val="single" w:color="auto" w:sz="4" w:space="0"/>
              <w:right w:val="single" w:color="auto" w:sz="4" w:space="0"/>
            </w:tcBorders>
            <w:shd w:val="clear" w:color="auto" w:fill="auto"/>
            <w:vAlign w:val="center"/>
          </w:tcPr>
          <w:p w14:paraId="1FEC5CCC">
            <w:pPr>
              <w:jc w:val="center"/>
              <w:rPr>
                <w:rFonts w:hint="eastAsia" w:ascii="仿宋" w:hAnsi="仿宋" w:eastAsia="仿宋" w:cs="仿宋"/>
                <w:b w:val="0"/>
                <w:bCs w:val="0"/>
                <w:color w:val="auto"/>
                <w:sz w:val="24"/>
                <w:szCs w:val="24"/>
                <w:lang w:val="en-US" w:eastAsia="zh-Hans"/>
              </w:rPr>
            </w:pPr>
            <w:r>
              <w:rPr>
                <w:rFonts w:hint="eastAsia" w:ascii="仿宋_GB2312" w:hAnsi="仿宋_GB2312" w:eastAsia="仿宋_GB2312" w:cs="仿宋_GB2312"/>
                <w:color w:val="auto"/>
                <w:kern w:val="0"/>
                <w:sz w:val="24"/>
                <w:szCs w:val="24"/>
                <w:lang w:val="en-US" w:eastAsia="zh-CN"/>
              </w:rPr>
              <w:t>新增</w:t>
            </w:r>
          </w:p>
        </w:tc>
      </w:tr>
      <w:tr w14:paraId="17CA21E7">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04F3A78A">
            <w:pPr>
              <w:widowControl/>
              <w:numPr>
                <w:ilvl w:val="0"/>
                <w:numId w:val="5"/>
              </w:numPr>
              <w:jc w:val="center"/>
              <w:textAlignment w:val="center"/>
              <w:rPr>
                <w:rFonts w:hint="eastAsia" w:ascii="仿宋" w:hAnsi="仿宋" w:eastAsia="仿宋" w:cs="仿宋"/>
                <w:b w:val="0"/>
                <w:bCs w:val="0"/>
                <w:color w:val="auto"/>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61B73821">
            <w:pPr>
              <w:widowControl/>
              <w:adjustRightInd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bidi="ar"/>
              </w:rPr>
              <w:t>金蝶云星辰</w:t>
            </w:r>
          </w:p>
        </w:tc>
        <w:tc>
          <w:tcPr>
            <w:tcW w:w="2613" w:type="dxa"/>
            <w:tcBorders>
              <w:top w:val="single" w:color="auto" w:sz="4" w:space="0"/>
              <w:left w:val="nil"/>
              <w:bottom w:val="single" w:color="auto" w:sz="4" w:space="0"/>
              <w:right w:val="single" w:color="auto" w:sz="4" w:space="0"/>
            </w:tcBorders>
            <w:shd w:val="clear" w:color="auto" w:fill="auto"/>
            <w:vAlign w:val="center"/>
          </w:tcPr>
          <w:p w14:paraId="439B8DBB">
            <w:pPr>
              <w:keepNext w:val="0"/>
              <w:keepLines w:val="0"/>
              <w:widowControl/>
              <w:suppressLineNumbers w:val="0"/>
              <w:jc w:val="left"/>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面向小微企业财务进销存管理环节，数字化水平低，业务财务管理难，数据混乱问题，实现财务进销存、零售、订货商城一体化管理。</w:t>
            </w:r>
          </w:p>
        </w:tc>
        <w:tc>
          <w:tcPr>
            <w:tcW w:w="4092" w:type="dxa"/>
            <w:tcBorders>
              <w:top w:val="single" w:color="auto" w:sz="4" w:space="0"/>
              <w:left w:val="nil"/>
              <w:bottom w:val="single" w:color="auto" w:sz="4" w:space="0"/>
              <w:right w:val="single" w:color="auto" w:sz="4" w:space="0"/>
            </w:tcBorders>
            <w:shd w:val="clear" w:color="auto" w:fill="auto"/>
            <w:vAlign w:val="center"/>
          </w:tcPr>
          <w:p w14:paraId="4362CABB">
            <w:pPr>
              <w:keepNext w:val="0"/>
              <w:keepLines w:val="0"/>
              <w:widowControl/>
              <w:suppressLineNumbers w:val="0"/>
              <w:jc w:val="left"/>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聚焦小型企业在线经营和数字化管理，以“新财税、新营销、新平台”三大特性赋能企业，提供财务云、税务云、进销存云、订货商城等SaaS服务，支持小型企业拓客开源、智能管理、实时决策。</w:t>
            </w:r>
          </w:p>
        </w:tc>
        <w:tc>
          <w:tcPr>
            <w:tcW w:w="2043" w:type="dxa"/>
            <w:tcBorders>
              <w:top w:val="single" w:color="auto" w:sz="4" w:space="0"/>
              <w:left w:val="nil"/>
              <w:bottom w:val="single" w:color="auto" w:sz="4" w:space="0"/>
              <w:right w:val="single" w:color="auto" w:sz="4" w:space="0"/>
            </w:tcBorders>
            <w:shd w:val="clear" w:color="auto" w:fill="auto"/>
            <w:vAlign w:val="center"/>
          </w:tcPr>
          <w:p w14:paraId="33DA1E7D">
            <w:pPr>
              <w:widowControl/>
              <w:adjustRightInd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bidi="ar"/>
              </w:rPr>
              <w:t>0.5</w:t>
            </w:r>
            <w:r>
              <w:rPr>
                <w:rFonts w:hint="eastAsia" w:ascii="仿宋" w:hAnsi="仿宋" w:cs="仿宋"/>
                <w:b w:val="0"/>
                <w:bCs w:val="0"/>
                <w:color w:val="auto"/>
                <w:kern w:val="0"/>
                <w:sz w:val="24"/>
                <w:szCs w:val="24"/>
                <w:lang w:val="en-US" w:eastAsia="zh-CN" w:bidi="ar"/>
              </w:rPr>
              <w:t>万元</w:t>
            </w:r>
            <w:r>
              <w:rPr>
                <w:rFonts w:hint="eastAsia" w:ascii="仿宋" w:hAnsi="仿宋" w:eastAsia="仿宋" w:cs="仿宋"/>
                <w:b w:val="0"/>
                <w:bCs w:val="0"/>
                <w:color w:val="auto"/>
                <w:kern w:val="0"/>
                <w:sz w:val="24"/>
                <w:szCs w:val="24"/>
                <w:lang w:bidi="ar"/>
              </w:rPr>
              <w:t>-5万</w:t>
            </w:r>
            <w:r>
              <w:rPr>
                <w:rFonts w:hint="eastAsia" w:ascii="仿宋" w:hAnsi="仿宋" w:cs="仿宋"/>
                <w:b w:val="0"/>
                <w:bCs w:val="0"/>
                <w:color w:val="auto"/>
                <w:kern w:val="0"/>
                <w:sz w:val="24"/>
                <w:szCs w:val="24"/>
                <w:lang w:val="en-US" w:eastAsia="zh-CN" w:bidi="ar"/>
              </w:rPr>
              <w:t>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7DFA3DCA">
            <w:pPr>
              <w:jc w:val="center"/>
              <w:rPr>
                <w:rFonts w:hint="eastAsia" w:ascii="仿宋" w:hAnsi="仿宋" w:eastAsia="仿宋" w:cs="仿宋"/>
                <w:b w:val="0"/>
                <w:bCs w:val="0"/>
                <w:color w:val="auto"/>
                <w:sz w:val="24"/>
                <w:szCs w:val="24"/>
                <w:lang w:val="en-US" w:eastAsia="zh-CN"/>
              </w:rPr>
            </w:pPr>
            <w:r>
              <w:rPr>
                <w:rFonts w:hint="eastAsia" w:ascii="仿宋_GB2312" w:hAnsi="仿宋_GB2312" w:eastAsia="仿宋_GB2312" w:cs="仿宋_GB2312"/>
                <w:color w:val="auto"/>
                <w:kern w:val="0"/>
                <w:sz w:val="24"/>
                <w:szCs w:val="24"/>
                <w:lang w:val="en-US" w:eastAsia="zh-CN"/>
              </w:rPr>
              <w:t>新增</w:t>
            </w:r>
          </w:p>
        </w:tc>
      </w:tr>
      <w:tr w14:paraId="0D89302E">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vAlign w:val="center"/>
          </w:tcPr>
          <w:p w14:paraId="5F7E44D1">
            <w:pPr>
              <w:widowControl/>
              <w:numPr>
                <w:ilvl w:val="0"/>
                <w:numId w:val="5"/>
              </w:numPr>
              <w:jc w:val="center"/>
              <w:textAlignment w:val="center"/>
              <w:rPr>
                <w:rFonts w:hint="eastAsia" w:ascii="仿宋" w:hAnsi="仿宋" w:eastAsia="仿宋" w:cs="仿宋"/>
                <w:b w:val="0"/>
                <w:bCs w:val="0"/>
                <w:color w:val="auto"/>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34154E09">
            <w:pPr>
              <w:widowControl/>
              <w:adjustRightInd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bidi="ar"/>
              </w:rPr>
              <w:t>金蝶KIS云</w:t>
            </w:r>
          </w:p>
        </w:tc>
        <w:tc>
          <w:tcPr>
            <w:tcW w:w="2613" w:type="dxa"/>
            <w:tcBorders>
              <w:top w:val="single" w:color="auto" w:sz="4" w:space="0"/>
              <w:left w:val="nil"/>
              <w:bottom w:val="single" w:color="auto" w:sz="4" w:space="0"/>
              <w:right w:val="single" w:color="auto" w:sz="4" w:space="0"/>
            </w:tcBorders>
            <w:shd w:val="clear" w:color="auto" w:fill="auto"/>
            <w:vAlign w:val="center"/>
          </w:tcPr>
          <w:p w14:paraId="351EA544">
            <w:pPr>
              <w:keepNext w:val="0"/>
              <w:keepLines w:val="0"/>
              <w:widowControl/>
              <w:suppressLineNumbers w:val="0"/>
              <w:jc w:val="left"/>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 xml:space="preserve">为广大制造业提供随需而动的信息化平台，覆盖生产制造、供应链、财务、HR管理、全渠道营销等全面应用；充分满足企业生产管理人员、电商管理人员、销售管理人员、财务管理人员及决策层对企业业务的全面管控的需求。 </w:t>
            </w:r>
          </w:p>
        </w:tc>
        <w:tc>
          <w:tcPr>
            <w:tcW w:w="4092" w:type="dxa"/>
            <w:tcBorders>
              <w:top w:val="single" w:color="auto" w:sz="4" w:space="0"/>
              <w:left w:val="nil"/>
              <w:bottom w:val="single" w:color="auto" w:sz="4" w:space="0"/>
              <w:right w:val="single" w:color="auto" w:sz="4" w:space="0"/>
            </w:tcBorders>
            <w:shd w:val="clear" w:color="auto" w:fill="auto"/>
            <w:vAlign w:val="center"/>
          </w:tcPr>
          <w:p w14:paraId="24BF94A4">
            <w:pPr>
              <w:pStyle w:val="43"/>
              <w:adjustRightInd w:val="0"/>
              <w:snapToGrid w:val="0"/>
              <w:ind w:firstLine="0" w:firstLineChars="0"/>
              <w:jc w:val="center"/>
              <w:outlineLvl w:val="3"/>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eastAsia="zh-CN" w:bidi="ar"/>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2043" w:type="dxa"/>
            <w:tcBorders>
              <w:top w:val="single" w:color="auto" w:sz="4" w:space="0"/>
              <w:left w:val="nil"/>
              <w:bottom w:val="single" w:color="auto" w:sz="4" w:space="0"/>
              <w:right w:val="single" w:color="auto" w:sz="4" w:space="0"/>
            </w:tcBorders>
            <w:shd w:val="clear" w:color="auto" w:fill="auto"/>
            <w:vAlign w:val="center"/>
          </w:tcPr>
          <w:p w14:paraId="169FED73">
            <w:pPr>
              <w:widowControl/>
              <w:adjustRightInd w:val="0"/>
              <w:snapToGrid w:val="0"/>
              <w:jc w:val="center"/>
              <w:textAlignment w:val="center"/>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bidi="ar"/>
              </w:rPr>
              <w:t>0.5</w:t>
            </w:r>
            <w:r>
              <w:rPr>
                <w:rFonts w:hint="eastAsia" w:ascii="仿宋" w:hAnsi="仿宋" w:cs="仿宋"/>
                <w:b w:val="0"/>
                <w:bCs w:val="0"/>
                <w:color w:val="auto"/>
                <w:kern w:val="0"/>
                <w:sz w:val="24"/>
                <w:szCs w:val="24"/>
                <w:lang w:val="en-US" w:eastAsia="zh-CN" w:bidi="ar"/>
              </w:rPr>
              <w:t>万元</w:t>
            </w:r>
            <w:r>
              <w:rPr>
                <w:rFonts w:hint="eastAsia" w:ascii="仿宋" w:hAnsi="仿宋" w:eastAsia="仿宋" w:cs="仿宋"/>
                <w:b w:val="0"/>
                <w:bCs w:val="0"/>
                <w:color w:val="auto"/>
                <w:kern w:val="0"/>
                <w:sz w:val="24"/>
                <w:szCs w:val="24"/>
                <w:lang w:bidi="ar"/>
              </w:rPr>
              <w:t>-3万</w:t>
            </w:r>
            <w:r>
              <w:rPr>
                <w:rFonts w:hint="eastAsia" w:ascii="仿宋" w:hAnsi="仿宋" w:cs="仿宋"/>
                <w:b w:val="0"/>
                <w:bCs w:val="0"/>
                <w:color w:val="auto"/>
                <w:kern w:val="0"/>
                <w:sz w:val="24"/>
                <w:szCs w:val="24"/>
                <w:lang w:val="en-US" w:eastAsia="zh-CN" w:bidi="ar"/>
              </w:rPr>
              <w:t>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68E37608">
            <w:pPr>
              <w:jc w:val="center"/>
              <w:rPr>
                <w:rFonts w:hint="eastAsia" w:ascii="仿宋" w:hAnsi="仿宋" w:eastAsia="仿宋" w:cs="仿宋"/>
                <w:b w:val="0"/>
                <w:bCs w:val="0"/>
                <w:color w:val="auto"/>
                <w:sz w:val="24"/>
                <w:szCs w:val="24"/>
                <w:lang w:val="en-US" w:eastAsia="zh-CN"/>
              </w:rPr>
            </w:pPr>
            <w:r>
              <w:rPr>
                <w:rFonts w:hint="eastAsia" w:ascii="仿宋_GB2312" w:hAnsi="仿宋_GB2312" w:eastAsia="仿宋_GB2312" w:cs="仿宋_GB2312"/>
                <w:color w:val="auto"/>
                <w:kern w:val="0"/>
                <w:sz w:val="24"/>
                <w:szCs w:val="24"/>
                <w:lang w:val="en-US" w:eastAsia="zh-CN"/>
              </w:rPr>
              <w:t>新增</w:t>
            </w:r>
          </w:p>
        </w:tc>
      </w:tr>
    </w:tbl>
    <w:p w14:paraId="5252FA06">
      <w:pPr>
        <w:pStyle w:val="2"/>
        <w:rPr>
          <w:rFonts w:hint="eastAsia" w:ascii="仿宋_GB2312" w:hAnsi="仿宋_GB2312" w:eastAsia="仿宋_GB2312" w:cs="仿宋_GB2312"/>
          <w:bCs/>
          <w:sz w:val="32"/>
          <w:szCs w:val="32"/>
        </w:rPr>
      </w:pPr>
    </w:p>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A6E9E">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0BB8F684">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0BB8F684">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C398CA78"/>
    <w:multiLevelType w:val="singleLevel"/>
    <w:tmpl w:val="C398CA78"/>
    <w:lvl w:ilvl="0" w:tentative="0">
      <w:start w:val="1"/>
      <w:numFmt w:val="decimal"/>
      <w:lvlText w:val="%1"/>
      <w:lvlJc w:val="left"/>
      <w:pPr>
        <w:tabs>
          <w:tab w:val="left" w:pos="420"/>
        </w:tabs>
        <w:ind w:left="425" w:hanging="425"/>
      </w:pPr>
      <w:rPr>
        <w:rFonts w:hint="default"/>
      </w:rPr>
    </w:lvl>
  </w:abstractNum>
  <w:abstractNum w:abstractNumId="2">
    <w:nsid w:val="CAB7BBE8"/>
    <w:multiLevelType w:val="singleLevel"/>
    <w:tmpl w:val="CAB7BBE8"/>
    <w:lvl w:ilvl="0" w:tentative="0">
      <w:start w:val="1"/>
      <w:numFmt w:val="decimal"/>
      <w:lvlText w:val="%1"/>
      <w:lvlJc w:val="left"/>
      <w:pPr>
        <w:tabs>
          <w:tab w:val="left" w:pos="420"/>
        </w:tabs>
        <w:ind w:left="425" w:hanging="425"/>
      </w:pPr>
      <w:rPr>
        <w:rFonts w:hint="default"/>
      </w:rPr>
    </w:lvl>
  </w:abstractNum>
  <w:abstractNum w:abstractNumId="3">
    <w:nsid w:val="1A71BD5E"/>
    <w:multiLevelType w:val="singleLevel"/>
    <w:tmpl w:val="1A71BD5E"/>
    <w:lvl w:ilvl="0" w:tentative="0">
      <w:start w:val="1"/>
      <w:numFmt w:val="decimal"/>
      <w:lvlText w:val="%1"/>
      <w:lvlJc w:val="left"/>
      <w:pPr>
        <w:tabs>
          <w:tab w:val="left" w:pos="420"/>
        </w:tabs>
        <w:ind w:left="425" w:hanging="425"/>
      </w:pPr>
      <w:rPr>
        <w:rFonts w:hint="default"/>
      </w:rPr>
    </w:lvl>
  </w:abstractNum>
  <w:abstractNum w:abstractNumId="4">
    <w:nsid w:val="5C55F359"/>
    <w:multiLevelType w:val="singleLevel"/>
    <w:tmpl w:val="5C55F359"/>
    <w:lvl w:ilvl="0" w:tentative="0">
      <w:start w:val="1"/>
      <w:numFmt w:val="decimal"/>
      <w:lvlText w:val="%1"/>
      <w:lvlJc w:val="left"/>
      <w:pPr>
        <w:tabs>
          <w:tab w:val="left" w:pos="420"/>
        </w:tabs>
        <w:ind w:left="425" w:hanging="425"/>
      </w:pPr>
      <w:rPr>
        <w:rFont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40"/>
  <w:drawingGridVerticalSpacing w:val="381"/>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10735"/>
    <w:rsid w:val="0002699B"/>
    <w:rsid w:val="00037AF8"/>
    <w:rsid w:val="00052D6C"/>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72A27"/>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C0647"/>
    <w:rsid w:val="004D0238"/>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201E"/>
    <w:rsid w:val="00593EC5"/>
    <w:rsid w:val="0059673A"/>
    <w:rsid w:val="005B5CE8"/>
    <w:rsid w:val="005C02B3"/>
    <w:rsid w:val="005C6263"/>
    <w:rsid w:val="005D39EF"/>
    <w:rsid w:val="005F1026"/>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2EB7"/>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005C"/>
    <w:rsid w:val="00B22643"/>
    <w:rsid w:val="00B26B8C"/>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4D20"/>
    <w:rsid w:val="00EF05FA"/>
    <w:rsid w:val="00F056DA"/>
    <w:rsid w:val="00F20DF5"/>
    <w:rsid w:val="00F33493"/>
    <w:rsid w:val="00F520FA"/>
    <w:rsid w:val="00F52A8D"/>
    <w:rsid w:val="00F53F14"/>
    <w:rsid w:val="00F63130"/>
    <w:rsid w:val="00F6578A"/>
    <w:rsid w:val="00F70F5E"/>
    <w:rsid w:val="00F71EEE"/>
    <w:rsid w:val="00F83F5D"/>
    <w:rsid w:val="00F94AB8"/>
    <w:rsid w:val="00FA25BF"/>
    <w:rsid w:val="00FA4332"/>
    <w:rsid w:val="00FA7617"/>
    <w:rsid w:val="00FA7FE2"/>
    <w:rsid w:val="00FB0537"/>
    <w:rsid w:val="00FB5430"/>
    <w:rsid w:val="00FC388B"/>
    <w:rsid w:val="00FC4A25"/>
    <w:rsid w:val="00FE5212"/>
    <w:rsid w:val="00FF0E2D"/>
    <w:rsid w:val="01763BCE"/>
    <w:rsid w:val="01F114A6"/>
    <w:rsid w:val="02C5CCB7"/>
    <w:rsid w:val="02CB0A0A"/>
    <w:rsid w:val="04253689"/>
    <w:rsid w:val="054A784B"/>
    <w:rsid w:val="057522D4"/>
    <w:rsid w:val="06986394"/>
    <w:rsid w:val="070FF518"/>
    <w:rsid w:val="0774295E"/>
    <w:rsid w:val="09DC163D"/>
    <w:rsid w:val="0A312D88"/>
    <w:rsid w:val="0A636732"/>
    <w:rsid w:val="0A85669C"/>
    <w:rsid w:val="0AF53DB5"/>
    <w:rsid w:val="0B236729"/>
    <w:rsid w:val="0C373769"/>
    <w:rsid w:val="0CF75DF7"/>
    <w:rsid w:val="0DCF2E6E"/>
    <w:rsid w:val="0F1E592E"/>
    <w:rsid w:val="10710382"/>
    <w:rsid w:val="11B20A9E"/>
    <w:rsid w:val="14C57BD3"/>
    <w:rsid w:val="14DB226E"/>
    <w:rsid w:val="16004E29"/>
    <w:rsid w:val="164D0F49"/>
    <w:rsid w:val="174A2BA6"/>
    <w:rsid w:val="17942BA8"/>
    <w:rsid w:val="18A23C84"/>
    <w:rsid w:val="18C26E4B"/>
    <w:rsid w:val="192760B3"/>
    <w:rsid w:val="1A2600C1"/>
    <w:rsid w:val="1A976858"/>
    <w:rsid w:val="1B5D3A44"/>
    <w:rsid w:val="1CD31A7D"/>
    <w:rsid w:val="1DA715D7"/>
    <w:rsid w:val="1DAC0C4B"/>
    <w:rsid w:val="1DB3BDD9"/>
    <w:rsid w:val="1EBA7398"/>
    <w:rsid w:val="1ED17600"/>
    <w:rsid w:val="1EE85256"/>
    <w:rsid w:val="1EEF4B70"/>
    <w:rsid w:val="1EFA59E6"/>
    <w:rsid w:val="1FE83A91"/>
    <w:rsid w:val="20B85440"/>
    <w:rsid w:val="20B95576"/>
    <w:rsid w:val="212C2C82"/>
    <w:rsid w:val="212E3725"/>
    <w:rsid w:val="219519F6"/>
    <w:rsid w:val="227B464E"/>
    <w:rsid w:val="22DE013F"/>
    <w:rsid w:val="231E4B10"/>
    <w:rsid w:val="23226CC1"/>
    <w:rsid w:val="23AE58BE"/>
    <w:rsid w:val="23BD70CF"/>
    <w:rsid w:val="23CB5BA3"/>
    <w:rsid w:val="2459649D"/>
    <w:rsid w:val="26DB7EAB"/>
    <w:rsid w:val="28472F88"/>
    <w:rsid w:val="29491A44"/>
    <w:rsid w:val="29995DFC"/>
    <w:rsid w:val="2AD6748B"/>
    <w:rsid w:val="2B4B098B"/>
    <w:rsid w:val="2C570682"/>
    <w:rsid w:val="2CB0732E"/>
    <w:rsid w:val="2D173C07"/>
    <w:rsid w:val="2F2919D0"/>
    <w:rsid w:val="2FA01113"/>
    <w:rsid w:val="30FE1366"/>
    <w:rsid w:val="319C46DB"/>
    <w:rsid w:val="31B61C41"/>
    <w:rsid w:val="32987C10"/>
    <w:rsid w:val="32A5431B"/>
    <w:rsid w:val="33013899"/>
    <w:rsid w:val="331971C9"/>
    <w:rsid w:val="33FE167D"/>
    <w:rsid w:val="36F34D9D"/>
    <w:rsid w:val="375A1547"/>
    <w:rsid w:val="37FF5F14"/>
    <w:rsid w:val="381E4C82"/>
    <w:rsid w:val="387C3B96"/>
    <w:rsid w:val="3933358B"/>
    <w:rsid w:val="39D23390"/>
    <w:rsid w:val="3A173499"/>
    <w:rsid w:val="3A6A35C8"/>
    <w:rsid w:val="3A993EAE"/>
    <w:rsid w:val="3A9EFFCE"/>
    <w:rsid w:val="3BD6517D"/>
    <w:rsid w:val="3C431B90"/>
    <w:rsid w:val="3D1C55C2"/>
    <w:rsid w:val="3E5A7DF8"/>
    <w:rsid w:val="3F285800"/>
    <w:rsid w:val="40BD2DE4"/>
    <w:rsid w:val="40EF4827"/>
    <w:rsid w:val="41FE0D2A"/>
    <w:rsid w:val="42360234"/>
    <w:rsid w:val="4248149B"/>
    <w:rsid w:val="43397FDC"/>
    <w:rsid w:val="43476B9D"/>
    <w:rsid w:val="434F2582"/>
    <w:rsid w:val="43E837B0"/>
    <w:rsid w:val="442944F4"/>
    <w:rsid w:val="443469F5"/>
    <w:rsid w:val="44606CD8"/>
    <w:rsid w:val="44D56131"/>
    <w:rsid w:val="4577128F"/>
    <w:rsid w:val="46653894"/>
    <w:rsid w:val="47242D51"/>
    <w:rsid w:val="473E165D"/>
    <w:rsid w:val="487D1F30"/>
    <w:rsid w:val="48A405ED"/>
    <w:rsid w:val="48E82276"/>
    <w:rsid w:val="4973551B"/>
    <w:rsid w:val="49E36054"/>
    <w:rsid w:val="4A144D30"/>
    <w:rsid w:val="4A3F571D"/>
    <w:rsid w:val="4A4C2CEB"/>
    <w:rsid w:val="4B3043BA"/>
    <w:rsid w:val="4C26230B"/>
    <w:rsid w:val="4D4E6532"/>
    <w:rsid w:val="4D6C7200"/>
    <w:rsid w:val="4E0833CC"/>
    <w:rsid w:val="4E416104"/>
    <w:rsid w:val="4F980780"/>
    <w:rsid w:val="4FF359B6"/>
    <w:rsid w:val="4FFD05E3"/>
    <w:rsid w:val="50414974"/>
    <w:rsid w:val="512A3982"/>
    <w:rsid w:val="517FE114"/>
    <w:rsid w:val="51E02228"/>
    <w:rsid w:val="524530D8"/>
    <w:rsid w:val="52A042A5"/>
    <w:rsid w:val="533633E9"/>
    <w:rsid w:val="565847C5"/>
    <w:rsid w:val="569D6333"/>
    <w:rsid w:val="56EFD299"/>
    <w:rsid w:val="56F3FCF0"/>
    <w:rsid w:val="57F16FC2"/>
    <w:rsid w:val="58995EAE"/>
    <w:rsid w:val="58BE065A"/>
    <w:rsid w:val="59FD4477"/>
    <w:rsid w:val="5A1A070F"/>
    <w:rsid w:val="5A305377"/>
    <w:rsid w:val="5B060B12"/>
    <w:rsid w:val="5B7A6F8C"/>
    <w:rsid w:val="5BFFB320"/>
    <w:rsid w:val="5C0C22DA"/>
    <w:rsid w:val="5DEA3DFA"/>
    <w:rsid w:val="5E0019CA"/>
    <w:rsid w:val="5E5E4943"/>
    <w:rsid w:val="5EB545FA"/>
    <w:rsid w:val="5F0A24B4"/>
    <w:rsid w:val="5F0E0117"/>
    <w:rsid w:val="61273712"/>
    <w:rsid w:val="62D6033B"/>
    <w:rsid w:val="62D91739"/>
    <w:rsid w:val="62E0081A"/>
    <w:rsid w:val="63F50BFD"/>
    <w:rsid w:val="63FC329D"/>
    <w:rsid w:val="64FD4BAB"/>
    <w:rsid w:val="6508225B"/>
    <w:rsid w:val="6588162A"/>
    <w:rsid w:val="65A90B99"/>
    <w:rsid w:val="669730E8"/>
    <w:rsid w:val="67145666"/>
    <w:rsid w:val="67460A40"/>
    <w:rsid w:val="67582877"/>
    <w:rsid w:val="6780730E"/>
    <w:rsid w:val="67DD55E5"/>
    <w:rsid w:val="67DF4D46"/>
    <w:rsid w:val="6846773F"/>
    <w:rsid w:val="68B35298"/>
    <w:rsid w:val="68BB23A7"/>
    <w:rsid w:val="692F7608"/>
    <w:rsid w:val="69472BA3"/>
    <w:rsid w:val="6A7259FE"/>
    <w:rsid w:val="6CBF0CA2"/>
    <w:rsid w:val="6EF95004"/>
    <w:rsid w:val="70D2369A"/>
    <w:rsid w:val="71181FA5"/>
    <w:rsid w:val="71E82A49"/>
    <w:rsid w:val="72872F89"/>
    <w:rsid w:val="736B748E"/>
    <w:rsid w:val="73BD5D86"/>
    <w:rsid w:val="76241FAE"/>
    <w:rsid w:val="769211D6"/>
    <w:rsid w:val="76C463FC"/>
    <w:rsid w:val="775546DD"/>
    <w:rsid w:val="777849C9"/>
    <w:rsid w:val="77CF7617"/>
    <w:rsid w:val="7883527A"/>
    <w:rsid w:val="7A1F656A"/>
    <w:rsid w:val="7B364826"/>
    <w:rsid w:val="7C217926"/>
    <w:rsid w:val="7CAF4890"/>
    <w:rsid w:val="7CBFAA9E"/>
    <w:rsid w:val="7D2708CA"/>
    <w:rsid w:val="7D7BAA82"/>
    <w:rsid w:val="7DB52E23"/>
    <w:rsid w:val="7E9EF690"/>
    <w:rsid w:val="7EBF2EFE"/>
    <w:rsid w:val="7EF25C3A"/>
    <w:rsid w:val="7EF96A0D"/>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Calibri"/>
      <w:kern w:val="2"/>
      <w:sz w:val="28"/>
      <w:szCs w:val="21"/>
      <w:lang w:val="en-US" w:eastAsia="zh-CN" w:bidi="ar-SA"/>
    </w:rPr>
  </w:style>
  <w:style w:type="paragraph" w:styleId="3">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4">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3"/>
    <w:unhideWhenUsed/>
    <w:qFormat/>
    <w:uiPriority w:val="99"/>
    <w:rPr>
      <w:rFonts w:eastAsia="宋体"/>
      <w:sz w:val="30"/>
      <w:szCs w:val="30"/>
    </w:rPr>
  </w:style>
  <w:style w:type="paragraph" w:styleId="5">
    <w:name w:val="Normal Indent"/>
    <w:basedOn w:val="1"/>
    <w:link w:val="37"/>
    <w:qFormat/>
    <w:uiPriority w:val="0"/>
    <w:pPr>
      <w:ind w:firstLine="420" w:firstLineChars="200"/>
    </w:pPr>
    <w:rPr>
      <w:rFonts w:ascii="Times New Roman" w:hAnsi="Times New Roman" w:eastAsia="宋体" w:cs="黑体"/>
      <w:sz w:val="21"/>
      <w:szCs w:val="24"/>
    </w:rPr>
  </w:style>
  <w:style w:type="paragraph" w:styleId="6">
    <w:name w:val="caption"/>
    <w:basedOn w:val="1"/>
    <w:next w:val="1"/>
    <w:qFormat/>
    <w:uiPriority w:val="35"/>
    <w:rPr>
      <w:rFonts w:ascii="等线 Light" w:hAnsi="等线 Light" w:eastAsia="黑体" w:cs="Times New Roman"/>
      <w:sz w:val="20"/>
      <w:szCs w:val="20"/>
    </w:rPr>
  </w:style>
  <w:style w:type="paragraph" w:styleId="7">
    <w:name w:val="annotation text"/>
    <w:basedOn w:val="1"/>
    <w:link w:val="32"/>
    <w:unhideWhenUsed/>
    <w:qFormat/>
    <w:uiPriority w:val="99"/>
    <w:pPr>
      <w:jc w:val="left"/>
    </w:p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7"/>
    <w:next w:val="7"/>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3"/>
    <w:qFormat/>
    <w:uiPriority w:val="0"/>
    <w:rPr>
      <w:rFonts w:ascii="Times New Roman" w:hAnsi="Times New Roman" w:eastAsia="黑体" w:cs="Times New Roman"/>
      <w:kern w:val="44"/>
      <w:sz w:val="20"/>
      <w:szCs w:val="20"/>
    </w:rPr>
  </w:style>
  <w:style w:type="character" w:customStyle="1" w:styleId="31">
    <w:name w:val="标题 2 字符"/>
    <w:basedOn w:val="16"/>
    <w:link w:val="4"/>
    <w:qFormat/>
    <w:uiPriority w:val="9"/>
    <w:rPr>
      <w:rFonts w:ascii="楷体" w:hAnsi="楷体" w:eastAsia="楷体" w:cs="Times New Roman"/>
      <w:sz w:val="28"/>
      <w:szCs w:val="28"/>
    </w:rPr>
  </w:style>
  <w:style w:type="character" w:customStyle="1" w:styleId="32">
    <w:name w:val="批注文字 字符"/>
    <w:link w:val="7"/>
    <w:qFormat/>
    <w:uiPriority w:val="99"/>
    <w:rPr>
      <w:rFonts w:ascii="Calibri" w:hAnsi="Calibri" w:eastAsia="仿宋" w:cs="Calibri"/>
      <w:sz w:val="28"/>
      <w:szCs w:val="21"/>
    </w:rPr>
  </w:style>
  <w:style w:type="character" w:customStyle="1" w:styleId="33">
    <w:name w:val="正文文本 字符"/>
    <w:link w:val="2"/>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5"/>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61</Pages>
  <Words>6114</Words>
  <Characters>6348</Characters>
  <Lines>193</Lines>
  <Paragraphs>54</Paragraphs>
  <TotalTime>0</TotalTime>
  <ScaleCrop>false</ScaleCrop>
  <LinksUpToDate>false</LinksUpToDate>
  <CharactersWithSpaces>6349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2022-10-21T04:00:00Z</cp:lastPrinted>
  <dcterms:modified xsi:type="dcterms:W3CDTF">2025-08-04T08:43:15Z</dcterms:modified>
  <dc:title>广东省产业集群工业互联数字化转型试点</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6EC0C1A595604DC7860147D448E13298_13</vt:lpwstr>
  </property>
  <property fmtid="{D5CDD505-2E9C-101B-9397-08002B2CF9AE}" pid="4" name="KSOTemplateDocerSaveRecord">
    <vt:lpwstr>eyJoZGlkIjoiMzEwNTM5NzYwMDRjMzkwZTVkZjY2ODkwMGIxNGU0OTUiLCJ1c2VySWQiOiIzMjI0MTE4NjIifQ==</vt:lpwstr>
  </property>
</Properties>
</file>