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12A8F">
      <w:pPr>
        <w:widowControl/>
        <w:jc w:val="center"/>
        <w:rPr>
          <w:rFonts w:hint="eastAsia" w:ascii="仿宋_GB2312" w:hAnsi="仿宋_GB2312" w:eastAsia="仿宋_GB2312" w:cs="仿宋_GB2312"/>
          <w:spacing w:val="-6"/>
          <w:sz w:val="32"/>
          <w:szCs w:val="32"/>
        </w:rPr>
      </w:pPr>
      <w:r>
        <w:rPr>
          <w:rFonts w:hint="eastAsia" w:ascii="仿宋_GB2312" w:hAnsi="仿宋_GB2312" w:eastAsia="仿宋_GB2312" w:cs="仿宋_GB2312"/>
          <w:sz w:val="44"/>
          <w:szCs w:val="44"/>
        </w:rPr>
        <w:t>佛山市中小企业数字化转型城市试点、佛山市产业集群数字化转型项目数字化牵引单位产品清单</w:t>
      </w:r>
    </w:p>
    <w:p w14:paraId="3B3A7D33">
      <w:pPr>
        <w:spacing w:line="560" w:lineRule="exact"/>
        <w:jc w:val="center"/>
        <w:rPr>
          <w:rFonts w:hint="eastAsia" w:ascii="仿宋_GB2312" w:hAnsi="仿宋_GB2312" w:eastAsia="仿宋_GB2312" w:cs="仿宋_GB2312"/>
          <w:sz w:val="44"/>
          <w:szCs w:val="44"/>
        </w:rPr>
      </w:pPr>
      <w:r>
        <w:rPr>
          <w:rFonts w:hint="eastAsia" w:ascii="仿宋_GB2312" w:hAnsi="仿宋_GB2312" w:eastAsia="仿宋_GB2312" w:cs="仿宋_GB2312"/>
          <w:sz w:val="44"/>
          <w:szCs w:val="44"/>
        </w:rPr>
        <w:t>（数字化牵引单位：蒙娜丽莎集团股份有限公司）</w:t>
      </w:r>
      <w:bookmarkStart w:id="0" w:name="_GoBack"/>
      <w:bookmarkEnd w:id="0"/>
    </w:p>
    <w:p w14:paraId="3FAE6B53">
      <w:pPr>
        <w:spacing w:line="560" w:lineRule="exact"/>
        <w:jc w:val="center"/>
        <w:rPr>
          <w:rFonts w:hint="eastAsia" w:ascii="仿宋_GB2312" w:hAnsi="仿宋_GB2312" w:eastAsia="仿宋_GB2312" w:cs="仿宋_GB2312"/>
          <w:sz w:val="44"/>
          <w:szCs w:val="44"/>
        </w:rPr>
      </w:pPr>
    </w:p>
    <w:p w14:paraId="3CD10494">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（一）联合体成员：蒙娜丽莎集团股份有限公司</w:t>
      </w:r>
    </w:p>
    <w:tbl>
      <w:tblPr>
        <w:tblStyle w:val="14"/>
        <w:tblW w:w="0" w:type="auto"/>
        <w:tblInd w:w="0" w:type="dxa"/>
        <w:tblLayout w:type="autofit"/>
        <w:tblCellMar>
          <w:top w:w="0" w:type="dxa"/>
          <w:left w:w="108" w:type="dxa"/>
          <w:bottom w:w="0" w:type="dxa"/>
          <w:right w:w="108" w:type="dxa"/>
        </w:tblCellMar>
      </w:tblPr>
      <w:tblGrid>
        <w:gridCol w:w="806"/>
        <w:gridCol w:w="1511"/>
        <w:gridCol w:w="2318"/>
        <w:gridCol w:w="4387"/>
        <w:gridCol w:w="1551"/>
        <w:gridCol w:w="2133"/>
        <w:gridCol w:w="1353"/>
      </w:tblGrid>
      <w:tr w14:paraId="1042D20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noWrap w:val="0"/>
            <w:vAlign w:val="center"/>
          </w:tcPr>
          <w:p w14:paraId="559C7CCD">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noWrap w:val="0"/>
            <w:vAlign w:val="center"/>
          </w:tcPr>
          <w:p w14:paraId="150C9CE4">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noWrap w:val="0"/>
            <w:vAlign w:val="center"/>
          </w:tcPr>
          <w:p w14:paraId="054A89F7">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noWrap w:val="0"/>
            <w:vAlign w:val="center"/>
          </w:tcPr>
          <w:p w14:paraId="66F1B4B2">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noWrap w:val="0"/>
            <w:vAlign w:val="center"/>
          </w:tcPr>
          <w:p w14:paraId="3BE023B0">
            <w:pPr>
              <w:widowControl/>
              <w:jc w:val="center"/>
              <w:rPr>
                <w:rFonts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2133" w:type="dxa"/>
            <w:tcBorders>
              <w:top w:val="single" w:color="auto" w:sz="4" w:space="0"/>
              <w:left w:val="nil"/>
              <w:bottom w:val="single" w:color="auto" w:sz="4" w:space="0"/>
              <w:right w:val="single" w:color="auto" w:sz="4" w:space="0"/>
            </w:tcBorders>
            <w:noWrap w:val="0"/>
            <w:vAlign w:val="center"/>
          </w:tcPr>
          <w:p w14:paraId="76F90E6F">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c>
          <w:tcPr>
            <w:tcW w:w="1353" w:type="dxa"/>
            <w:tcBorders>
              <w:top w:val="single" w:color="auto" w:sz="4" w:space="0"/>
              <w:left w:val="nil"/>
              <w:bottom w:val="single" w:color="auto" w:sz="4" w:space="0"/>
              <w:right w:val="single" w:color="auto" w:sz="4" w:space="0"/>
            </w:tcBorders>
            <w:noWrap w:val="0"/>
            <w:vAlign w:val="center"/>
          </w:tcPr>
          <w:p w14:paraId="5FF08BD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是否</w:t>
            </w:r>
          </w:p>
          <w:p w14:paraId="420FC1DB">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新增/修订</w:t>
            </w:r>
          </w:p>
        </w:tc>
      </w:tr>
      <w:tr w14:paraId="6709621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noWrap w:val="0"/>
            <w:vAlign w:val="center"/>
          </w:tcPr>
          <w:p w14:paraId="2F364B7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w:t>
            </w:r>
          </w:p>
        </w:tc>
        <w:tc>
          <w:tcPr>
            <w:tcW w:w="1511" w:type="dxa"/>
            <w:tcBorders>
              <w:top w:val="single" w:color="auto" w:sz="4" w:space="0"/>
              <w:left w:val="nil"/>
              <w:bottom w:val="single" w:color="auto" w:sz="4" w:space="0"/>
              <w:right w:val="single" w:color="auto" w:sz="4" w:space="0"/>
            </w:tcBorders>
            <w:noWrap w:val="0"/>
            <w:vAlign w:val="center"/>
          </w:tcPr>
          <w:p w14:paraId="1ADD0CEB">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ERP企业资源计划</w:t>
            </w:r>
          </w:p>
        </w:tc>
        <w:tc>
          <w:tcPr>
            <w:tcW w:w="2318" w:type="dxa"/>
            <w:tcBorders>
              <w:top w:val="single" w:color="auto" w:sz="4" w:space="0"/>
              <w:left w:val="nil"/>
              <w:bottom w:val="single" w:color="auto" w:sz="4" w:space="0"/>
              <w:right w:val="single" w:color="auto" w:sz="4" w:space="0"/>
            </w:tcBorders>
            <w:noWrap w:val="0"/>
            <w:vAlign w:val="center"/>
          </w:tcPr>
          <w:p w14:paraId="56F69BE4">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面向陶瓷、化工行业的ERP系统</w:t>
            </w:r>
          </w:p>
        </w:tc>
        <w:tc>
          <w:tcPr>
            <w:tcW w:w="4387" w:type="dxa"/>
            <w:tcBorders>
              <w:top w:val="single" w:color="auto" w:sz="4" w:space="0"/>
              <w:left w:val="nil"/>
              <w:bottom w:val="single" w:color="auto" w:sz="4" w:space="0"/>
              <w:right w:val="single" w:color="auto" w:sz="4" w:space="0"/>
            </w:tcBorders>
            <w:noWrap w:val="0"/>
            <w:vAlign w:val="center"/>
          </w:tcPr>
          <w:p w14:paraId="2FD550D7">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包含原料进出存、应收应付、销售订单、销售开单、主数据平台、生产管理、成品进出存、价格管理、费用管理、地磅管理、半成品管理、质量管理、釉料管理、料材管理、权限管理等功能</w:t>
            </w:r>
          </w:p>
        </w:tc>
        <w:tc>
          <w:tcPr>
            <w:tcW w:w="1551" w:type="dxa"/>
            <w:tcBorders>
              <w:top w:val="single" w:color="auto" w:sz="4" w:space="0"/>
              <w:left w:val="nil"/>
              <w:bottom w:val="single" w:color="auto" w:sz="4" w:space="0"/>
              <w:right w:val="single" w:color="auto" w:sz="4" w:space="0"/>
            </w:tcBorders>
            <w:noWrap w:val="0"/>
            <w:vAlign w:val="center"/>
          </w:tcPr>
          <w:p w14:paraId="77DD42D1">
            <w:pPr>
              <w:widowControl/>
              <w:jc w:val="left"/>
              <w:rPr>
                <w:rFonts w:hint="eastAsia" w:ascii="仿宋_GB2312" w:hAnsi="等线" w:eastAsia="仿宋_GB2312" w:cs="宋体"/>
                <w:color w:val="000000"/>
                <w:kern w:val="0"/>
                <w:sz w:val="24"/>
                <w:szCs w:val="24"/>
                <w:lang w:val="en-US" w:eastAsia="zh-CN"/>
              </w:rPr>
            </w:pPr>
            <w:r>
              <w:rPr>
                <w:rFonts w:hint="eastAsia" w:ascii="仿宋_GB2312" w:hAnsi="等线" w:eastAsia="仿宋_GB2312" w:cs="宋体"/>
                <w:color w:val="000000"/>
                <w:kern w:val="0"/>
                <w:sz w:val="24"/>
                <w:szCs w:val="24"/>
              </w:rPr>
              <w:t>30万</w:t>
            </w:r>
            <w:r>
              <w:rPr>
                <w:rFonts w:hint="eastAsia" w:ascii="仿宋_GB2312" w:hAnsi="等线" w:eastAsia="仿宋_GB2312" w:cs="宋体"/>
                <w:color w:val="000000"/>
                <w:kern w:val="0"/>
                <w:sz w:val="24"/>
                <w:szCs w:val="24"/>
                <w:lang w:val="en-US" w:eastAsia="zh-CN"/>
              </w:rPr>
              <w:t>元-</w:t>
            </w:r>
            <w:r>
              <w:rPr>
                <w:rFonts w:hint="eastAsia" w:ascii="仿宋_GB2312" w:hAnsi="等线" w:eastAsia="仿宋_GB2312" w:cs="宋体"/>
                <w:color w:val="000000"/>
                <w:kern w:val="0"/>
                <w:sz w:val="24"/>
                <w:szCs w:val="24"/>
              </w:rPr>
              <w:t>120万</w:t>
            </w:r>
            <w:r>
              <w:rPr>
                <w:rFonts w:hint="eastAsia" w:ascii="仿宋_GB2312" w:hAnsi="等线" w:eastAsia="仿宋_GB2312" w:cs="宋体"/>
                <w:color w:val="000000"/>
                <w:kern w:val="0"/>
                <w:sz w:val="24"/>
                <w:szCs w:val="24"/>
                <w:lang w:val="en-US" w:eastAsia="zh-CN"/>
              </w:rPr>
              <w:t>元</w:t>
            </w:r>
          </w:p>
        </w:tc>
        <w:tc>
          <w:tcPr>
            <w:tcW w:w="2133" w:type="dxa"/>
            <w:tcBorders>
              <w:top w:val="single" w:color="auto" w:sz="4" w:space="0"/>
              <w:left w:val="nil"/>
              <w:bottom w:val="single" w:color="auto" w:sz="4" w:space="0"/>
              <w:right w:val="single" w:color="auto" w:sz="4" w:space="0"/>
            </w:tcBorders>
            <w:noWrap w:val="0"/>
            <w:vAlign w:val="center"/>
          </w:tcPr>
          <w:p w14:paraId="5D2F8121">
            <w:pPr>
              <w:widowControl/>
              <w:jc w:val="left"/>
              <w:rPr>
                <w:rFonts w:hint="eastAsia" w:ascii="仿宋_GB2312" w:hAnsi="等线" w:eastAsia="仿宋_GB2312" w:cs="宋体"/>
                <w:color w:val="000000"/>
                <w:kern w:val="0"/>
                <w:sz w:val="24"/>
                <w:szCs w:val="24"/>
                <w:lang w:eastAsia="zh-Hans"/>
              </w:rPr>
            </w:pPr>
          </w:p>
        </w:tc>
        <w:tc>
          <w:tcPr>
            <w:tcW w:w="1353" w:type="dxa"/>
            <w:tcBorders>
              <w:top w:val="single" w:color="auto" w:sz="4" w:space="0"/>
              <w:left w:val="nil"/>
              <w:bottom w:val="single" w:color="auto" w:sz="4" w:space="0"/>
              <w:right w:val="single" w:color="auto" w:sz="4" w:space="0"/>
            </w:tcBorders>
            <w:noWrap w:val="0"/>
            <w:vAlign w:val="center"/>
          </w:tcPr>
          <w:p w14:paraId="094F9CCF">
            <w:pPr>
              <w:widowControl/>
              <w:jc w:val="left"/>
              <w:rPr>
                <w:rFonts w:hint="eastAsia" w:ascii="仿宋_GB2312" w:hAnsi="等线" w:eastAsia="仿宋_GB2312" w:cs="宋体"/>
                <w:color w:val="000000"/>
                <w:kern w:val="0"/>
                <w:sz w:val="24"/>
                <w:szCs w:val="24"/>
              </w:rPr>
            </w:pPr>
          </w:p>
        </w:tc>
      </w:tr>
      <w:tr w14:paraId="21062797">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noWrap w:val="0"/>
            <w:vAlign w:val="center"/>
          </w:tcPr>
          <w:p w14:paraId="4147D36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w:t>
            </w:r>
          </w:p>
        </w:tc>
        <w:tc>
          <w:tcPr>
            <w:tcW w:w="1511" w:type="dxa"/>
            <w:tcBorders>
              <w:top w:val="single" w:color="auto" w:sz="4" w:space="0"/>
              <w:left w:val="nil"/>
              <w:bottom w:val="single" w:color="auto" w:sz="4" w:space="0"/>
              <w:right w:val="single" w:color="auto" w:sz="4" w:space="0"/>
            </w:tcBorders>
            <w:noWrap w:val="0"/>
            <w:vAlign w:val="center"/>
          </w:tcPr>
          <w:p w14:paraId="3EB61125">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数字化营销系统</w:t>
            </w:r>
          </w:p>
        </w:tc>
        <w:tc>
          <w:tcPr>
            <w:tcW w:w="2318" w:type="dxa"/>
            <w:tcBorders>
              <w:top w:val="single" w:color="auto" w:sz="4" w:space="0"/>
              <w:left w:val="nil"/>
              <w:bottom w:val="single" w:color="auto" w:sz="4" w:space="0"/>
              <w:right w:val="single" w:color="auto" w:sz="4" w:space="0"/>
            </w:tcBorders>
            <w:noWrap w:val="0"/>
            <w:vAlign w:val="center"/>
          </w:tcPr>
          <w:p w14:paraId="1AF987E4">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面向陶瓷行业企业的营销平台</w:t>
            </w:r>
          </w:p>
        </w:tc>
        <w:tc>
          <w:tcPr>
            <w:tcW w:w="4387" w:type="dxa"/>
            <w:tcBorders>
              <w:top w:val="single" w:color="auto" w:sz="4" w:space="0"/>
              <w:left w:val="nil"/>
              <w:bottom w:val="single" w:color="auto" w:sz="4" w:space="0"/>
              <w:right w:val="single" w:color="auto" w:sz="4" w:space="0"/>
            </w:tcBorders>
            <w:noWrap w:val="0"/>
            <w:vAlign w:val="center"/>
          </w:tcPr>
          <w:p w14:paraId="5681BB9C">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包含营销云平台、渠道管理、工程报备管理、MCS会员管理、工程业务管理、业务助手、设计平台等功能</w:t>
            </w:r>
          </w:p>
        </w:tc>
        <w:tc>
          <w:tcPr>
            <w:tcW w:w="1551" w:type="dxa"/>
            <w:tcBorders>
              <w:top w:val="single" w:color="auto" w:sz="4" w:space="0"/>
              <w:left w:val="nil"/>
              <w:bottom w:val="single" w:color="auto" w:sz="4" w:space="0"/>
              <w:right w:val="single" w:color="auto" w:sz="4" w:space="0"/>
            </w:tcBorders>
            <w:noWrap w:val="0"/>
            <w:vAlign w:val="center"/>
          </w:tcPr>
          <w:p w14:paraId="3DA03879">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50万</w:t>
            </w:r>
            <w:r>
              <w:rPr>
                <w:rFonts w:hint="eastAsia" w:ascii="仿宋_GB2312" w:hAnsi="等线" w:eastAsia="仿宋_GB2312" w:cs="宋体"/>
                <w:color w:val="000000"/>
                <w:kern w:val="0"/>
                <w:sz w:val="24"/>
                <w:szCs w:val="24"/>
                <w:lang w:val="en-US" w:eastAsia="zh-CN"/>
              </w:rPr>
              <w:t>元-</w:t>
            </w:r>
            <w:r>
              <w:rPr>
                <w:rFonts w:hint="eastAsia" w:ascii="仿宋_GB2312" w:hAnsi="等线" w:eastAsia="仿宋_GB2312" w:cs="宋体"/>
                <w:color w:val="000000"/>
                <w:kern w:val="0"/>
                <w:sz w:val="24"/>
                <w:szCs w:val="24"/>
              </w:rPr>
              <w:t>100万</w:t>
            </w:r>
            <w:r>
              <w:rPr>
                <w:rFonts w:hint="eastAsia" w:ascii="仿宋_GB2312" w:hAnsi="等线" w:eastAsia="仿宋_GB2312" w:cs="宋体"/>
                <w:color w:val="000000"/>
                <w:kern w:val="0"/>
                <w:sz w:val="24"/>
                <w:szCs w:val="24"/>
                <w:lang w:val="en-US" w:eastAsia="zh-CN"/>
              </w:rPr>
              <w:t>元</w:t>
            </w:r>
          </w:p>
        </w:tc>
        <w:tc>
          <w:tcPr>
            <w:tcW w:w="2133" w:type="dxa"/>
            <w:tcBorders>
              <w:top w:val="single" w:color="auto" w:sz="4" w:space="0"/>
              <w:left w:val="nil"/>
              <w:bottom w:val="single" w:color="auto" w:sz="4" w:space="0"/>
              <w:right w:val="single" w:color="auto" w:sz="4" w:space="0"/>
            </w:tcBorders>
            <w:noWrap w:val="0"/>
            <w:vAlign w:val="center"/>
          </w:tcPr>
          <w:p w14:paraId="06152382">
            <w:pPr>
              <w:widowControl/>
              <w:jc w:val="left"/>
              <w:rPr>
                <w:rFonts w:hint="eastAsia" w:ascii="仿宋_GB2312" w:hAnsi="等线" w:eastAsia="仿宋_GB2312" w:cs="宋体"/>
                <w:color w:val="000000"/>
                <w:kern w:val="0"/>
                <w:sz w:val="24"/>
                <w:szCs w:val="24"/>
              </w:rPr>
            </w:pPr>
          </w:p>
        </w:tc>
        <w:tc>
          <w:tcPr>
            <w:tcW w:w="1353" w:type="dxa"/>
            <w:tcBorders>
              <w:top w:val="single" w:color="auto" w:sz="4" w:space="0"/>
              <w:left w:val="nil"/>
              <w:bottom w:val="single" w:color="auto" w:sz="4" w:space="0"/>
              <w:right w:val="single" w:color="auto" w:sz="4" w:space="0"/>
            </w:tcBorders>
            <w:noWrap w:val="0"/>
            <w:vAlign w:val="center"/>
          </w:tcPr>
          <w:p w14:paraId="56673635">
            <w:pPr>
              <w:widowControl/>
              <w:jc w:val="left"/>
              <w:rPr>
                <w:rFonts w:hint="eastAsia" w:ascii="仿宋_GB2312" w:hAnsi="等线" w:eastAsia="仿宋_GB2312" w:cs="宋体"/>
                <w:color w:val="000000"/>
                <w:kern w:val="0"/>
                <w:sz w:val="24"/>
                <w:szCs w:val="24"/>
              </w:rPr>
            </w:pPr>
          </w:p>
        </w:tc>
      </w:tr>
      <w:tr w14:paraId="2B295CA1">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noWrap w:val="0"/>
            <w:vAlign w:val="center"/>
          </w:tcPr>
          <w:p w14:paraId="03BDEC35">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3</w:t>
            </w:r>
          </w:p>
        </w:tc>
        <w:tc>
          <w:tcPr>
            <w:tcW w:w="1511" w:type="dxa"/>
            <w:tcBorders>
              <w:top w:val="single" w:color="auto" w:sz="4" w:space="0"/>
              <w:left w:val="nil"/>
              <w:bottom w:val="single" w:color="auto" w:sz="4" w:space="0"/>
              <w:right w:val="single" w:color="auto" w:sz="4" w:space="0"/>
            </w:tcBorders>
            <w:noWrap w:val="0"/>
            <w:vAlign w:val="center"/>
          </w:tcPr>
          <w:p w14:paraId="152C3465">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APS高阶排程系统</w:t>
            </w:r>
          </w:p>
        </w:tc>
        <w:tc>
          <w:tcPr>
            <w:tcW w:w="2318" w:type="dxa"/>
            <w:tcBorders>
              <w:top w:val="single" w:color="auto" w:sz="4" w:space="0"/>
              <w:left w:val="nil"/>
              <w:bottom w:val="single" w:color="auto" w:sz="4" w:space="0"/>
              <w:right w:val="single" w:color="auto" w:sz="4" w:space="0"/>
            </w:tcBorders>
            <w:noWrap w:val="0"/>
            <w:vAlign w:val="center"/>
          </w:tcPr>
          <w:p w14:paraId="700D4038">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面向陶瓷行业企业的APS系统</w:t>
            </w:r>
          </w:p>
        </w:tc>
        <w:tc>
          <w:tcPr>
            <w:tcW w:w="4387" w:type="dxa"/>
            <w:tcBorders>
              <w:top w:val="single" w:color="auto" w:sz="4" w:space="0"/>
              <w:left w:val="nil"/>
              <w:bottom w:val="single" w:color="auto" w:sz="4" w:space="0"/>
              <w:right w:val="single" w:color="auto" w:sz="4" w:space="0"/>
            </w:tcBorders>
            <w:noWrap w:val="0"/>
            <w:vAlign w:val="center"/>
          </w:tcPr>
          <w:p w14:paraId="0F97AA6A">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包含订单预排、生产排程、交期回复、图形化排程、排产分析等功能</w:t>
            </w:r>
          </w:p>
        </w:tc>
        <w:tc>
          <w:tcPr>
            <w:tcW w:w="1551" w:type="dxa"/>
            <w:tcBorders>
              <w:top w:val="single" w:color="auto" w:sz="4" w:space="0"/>
              <w:left w:val="nil"/>
              <w:bottom w:val="single" w:color="auto" w:sz="4" w:space="0"/>
              <w:right w:val="single" w:color="auto" w:sz="4" w:space="0"/>
            </w:tcBorders>
            <w:noWrap w:val="0"/>
            <w:vAlign w:val="center"/>
          </w:tcPr>
          <w:p w14:paraId="6F916419">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30万</w:t>
            </w:r>
            <w:r>
              <w:rPr>
                <w:rFonts w:hint="eastAsia" w:ascii="仿宋_GB2312" w:hAnsi="等线" w:eastAsia="仿宋_GB2312" w:cs="宋体"/>
                <w:color w:val="000000"/>
                <w:kern w:val="0"/>
                <w:sz w:val="24"/>
                <w:szCs w:val="24"/>
                <w:lang w:val="en-US" w:eastAsia="zh-CN"/>
              </w:rPr>
              <w:t>元-</w:t>
            </w:r>
            <w:r>
              <w:rPr>
                <w:rFonts w:hint="eastAsia" w:ascii="仿宋_GB2312" w:hAnsi="等线" w:eastAsia="仿宋_GB2312" w:cs="宋体"/>
                <w:color w:val="000000"/>
                <w:kern w:val="0"/>
                <w:sz w:val="24"/>
                <w:szCs w:val="24"/>
              </w:rPr>
              <w:t>70万</w:t>
            </w:r>
            <w:r>
              <w:rPr>
                <w:rFonts w:hint="eastAsia" w:ascii="仿宋_GB2312" w:hAnsi="等线" w:eastAsia="仿宋_GB2312" w:cs="宋体"/>
                <w:color w:val="000000"/>
                <w:kern w:val="0"/>
                <w:sz w:val="24"/>
                <w:szCs w:val="24"/>
                <w:lang w:val="en-US" w:eastAsia="zh-CN"/>
              </w:rPr>
              <w:t>元</w:t>
            </w:r>
          </w:p>
        </w:tc>
        <w:tc>
          <w:tcPr>
            <w:tcW w:w="2133" w:type="dxa"/>
            <w:tcBorders>
              <w:top w:val="single" w:color="auto" w:sz="4" w:space="0"/>
              <w:left w:val="nil"/>
              <w:bottom w:val="single" w:color="auto" w:sz="4" w:space="0"/>
              <w:right w:val="single" w:color="auto" w:sz="4" w:space="0"/>
            </w:tcBorders>
            <w:noWrap w:val="0"/>
            <w:vAlign w:val="center"/>
          </w:tcPr>
          <w:p w14:paraId="47DAF0DB">
            <w:pPr>
              <w:widowControl/>
              <w:jc w:val="left"/>
              <w:rPr>
                <w:rFonts w:hint="eastAsia" w:ascii="仿宋_GB2312" w:hAnsi="等线" w:eastAsia="仿宋_GB2312" w:cs="宋体"/>
                <w:color w:val="000000"/>
                <w:kern w:val="0"/>
                <w:sz w:val="24"/>
                <w:szCs w:val="24"/>
              </w:rPr>
            </w:pPr>
          </w:p>
        </w:tc>
        <w:tc>
          <w:tcPr>
            <w:tcW w:w="1353" w:type="dxa"/>
            <w:tcBorders>
              <w:top w:val="single" w:color="auto" w:sz="4" w:space="0"/>
              <w:left w:val="nil"/>
              <w:bottom w:val="single" w:color="auto" w:sz="4" w:space="0"/>
              <w:right w:val="single" w:color="auto" w:sz="4" w:space="0"/>
            </w:tcBorders>
            <w:noWrap w:val="0"/>
            <w:vAlign w:val="center"/>
          </w:tcPr>
          <w:p w14:paraId="04366B33">
            <w:pPr>
              <w:widowControl/>
              <w:jc w:val="left"/>
              <w:rPr>
                <w:rFonts w:hint="eastAsia" w:ascii="仿宋_GB2312" w:hAnsi="等线" w:eastAsia="仿宋_GB2312" w:cs="宋体"/>
                <w:color w:val="000000"/>
                <w:kern w:val="0"/>
                <w:sz w:val="24"/>
                <w:szCs w:val="24"/>
              </w:rPr>
            </w:pPr>
          </w:p>
        </w:tc>
      </w:tr>
      <w:tr w14:paraId="1B727BB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noWrap w:val="0"/>
            <w:vAlign w:val="center"/>
          </w:tcPr>
          <w:p w14:paraId="58927D9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4</w:t>
            </w:r>
          </w:p>
        </w:tc>
        <w:tc>
          <w:tcPr>
            <w:tcW w:w="1511" w:type="dxa"/>
            <w:tcBorders>
              <w:top w:val="single" w:color="auto" w:sz="4" w:space="0"/>
              <w:left w:val="nil"/>
              <w:bottom w:val="single" w:color="auto" w:sz="4" w:space="0"/>
              <w:right w:val="single" w:color="auto" w:sz="4" w:space="0"/>
            </w:tcBorders>
            <w:noWrap w:val="0"/>
            <w:vAlign w:val="center"/>
          </w:tcPr>
          <w:p w14:paraId="0FA138C8">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MES制造执行系统</w:t>
            </w:r>
          </w:p>
        </w:tc>
        <w:tc>
          <w:tcPr>
            <w:tcW w:w="2318" w:type="dxa"/>
            <w:tcBorders>
              <w:top w:val="single" w:color="auto" w:sz="4" w:space="0"/>
              <w:left w:val="nil"/>
              <w:bottom w:val="single" w:color="auto" w:sz="4" w:space="0"/>
              <w:right w:val="single" w:color="auto" w:sz="4" w:space="0"/>
            </w:tcBorders>
            <w:noWrap w:val="0"/>
            <w:vAlign w:val="center"/>
          </w:tcPr>
          <w:p w14:paraId="5EC8C29D">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面向陶瓷、化工行业企业的MES系统</w:t>
            </w:r>
          </w:p>
        </w:tc>
        <w:tc>
          <w:tcPr>
            <w:tcW w:w="4387" w:type="dxa"/>
            <w:tcBorders>
              <w:top w:val="single" w:color="auto" w:sz="4" w:space="0"/>
              <w:left w:val="nil"/>
              <w:bottom w:val="single" w:color="auto" w:sz="4" w:space="0"/>
              <w:right w:val="single" w:color="auto" w:sz="4" w:space="0"/>
            </w:tcBorders>
            <w:noWrap w:val="0"/>
            <w:vAlign w:val="center"/>
          </w:tcPr>
          <w:p w14:paraId="695D5203">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包含工序数采、设备管理、质量管理、能源管理、溯源联伪系统等功能</w:t>
            </w:r>
          </w:p>
        </w:tc>
        <w:tc>
          <w:tcPr>
            <w:tcW w:w="1551" w:type="dxa"/>
            <w:tcBorders>
              <w:top w:val="single" w:color="auto" w:sz="4" w:space="0"/>
              <w:left w:val="nil"/>
              <w:bottom w:val="single" w:color="auto" w:sz="4" w:space="0"/>
              <w:right w:val="single" w:color="auto" w:sz="4" w:space="0"/>
            </w:tcBorders>
            <w:noWrap w:val="0"/>
            <w:vAlign w:val="center"/>
          </w:tcPr>
          <w:p w14:paraId="42A53BAE">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20万</w:t>
            </w:r>
            <w:r>
              <w:rPr>
                <w:rFonts w:hint="eastAsia" w:ascii="仿宋_GB2312" w:hAnsi="等线" w:eastAsia="仿宋_GB2312" w:cs="宋体"/>
                <w:color w:val="000000"/>
                <w:kern w:val="0"/>
                <w:sz w:val="24"/>
                <w:szCs w:val="24"/>
                <w:lang w:val="en-US" w:eastAsia="zh-CN"/>
              </w:rPr>
              <w:t>元-</w:t>
            </w:r>
            <w:r>
              <w:rPr>
                <w:rFonts w:hint="eastAsia" w:ascii="仿宋_GB2312" w:hAnsi="等线" w:eastAsia="仿宋_GB2312" w:cs="宋体"/>
                <w:color w:val="000000"/>
                <w:kern w:val="0"/>
                <w:sz w:val="24"/>
                <w:szCs w:val="24"/>
              </w:rPr>
              <w:t>60万</w:t>
            </w:r>
            <w:r>
              <w:rPr>
                <w:rFonts w:hint="eastAsia" w:ascii="仿宋_GB2312" w:hAnsi="等线" w:eastAsia="仿宋_GB2312" w:cs="宋体"/>
                <w:color w:val="000000"/>
                <w:kern w:val="0"/>
                <w:sz w:val="24"/>
                <w:szCs w:val="24"/>
                <w:lang w:val="en-US" w:eastAsia="zh-CN"/>
              </w:rPr>
              <w:t>元</w:t>
            </w:r>
          </w:p>
        </w:tc>
        <w:tc>
          <w:tcPr>
            <w:tcW w:w="2133" w:type="dxa"/>
            <w:tcBorders>
              <w:top w:val="single" w:color="auto" w:sz="4" w:space="0"/>
              <w:left w:val="nil"/>
              <w:bottom w:val="single" w:color="auto" w:sz="4" w:space="0"/>
              <w:right w:val="single" w:color="auto" w:sz="4" w:space="0"/>
            </w:tcBorders>
            <w:noWrap w:val="0"/>
            <w:vAlign w:val="center"/>
          </w:tcPr>
          <w:p w14:paraId="0BFB23D7">
            <w:pPr>
              <w:widowControl/>
              <w:jc w:val="left"/>
              <w:rPr>
                <w:rFonts w:hint="eastAsia" w:ascii="仿宋_GB2312" w:hAnsi="等线" w:eastAsia="仿宋_GB2312" w:cs="宋体"/>
                <w:color w:val="000000"/>
                <w:kern w:val="0"/>
                <w:sz w:val="24"/>
                <w:szCs w:val="24"/>
              </w:rPr>
            </w:pPr>
          </w:p>
        </w:tc>
        <w:tc>
          <w:tcPr>
            <w:tcW w:w="1353" w:type="dxa"/>
            <w:tcBorders>
              <w:top w:val="single" w:color="auto" w:sz="4" w:space="0"/>
              <w:left w:val="nil"/>
              <w:bottom w:val="single" w:color="auto" w:sz="4" w:space="0"/>
              <w:right w:val="single" w:color="auto" w:sz="4" w:space="0"/>
            </w:tcBorders>
            <w:noWrap w:val="0"/>
            <w:vAlign w:val="center"/>
          </w:tcPr>
          <w:p w14:paraId="6922D4BE">
            <w:pPr>
              <w:widowControl/>
              <w:jc w:val="left"/>
              <w:rPr>
                <w:rFonts w:hint="eastAsia" w:ascii="仿宋_GB2312" w:hAnsi="等线" w:eastAsia="仿宋_GB2312" w:cs="宋体"/>
                <w:color w:val="000000"/>
                <w:kern w:val="0"/>
                <w:sz w:val="24"/>
                <w:szCs w:val="24"/>
              </w:rPr>
            </w:pPr>
          </w:p>
        </w:tc>
      </w:tr>
      <w:tr w14:paraId="00BD4A0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noWrap w:val="0"/>
            <w:vAlign w:val="center"/>
          </w:tcPr>
          <w:p w14:paraId="1A3EA862">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5</w:t>
            </w:r>
          </w:p>
        </w:tc>
        <w:tc>
          <w:tcPr>
            <w:tcW w:w="1511" w:type="dxa"/>
            <w:tcBorders>
              <w:top w:val="single" w:color="auto" w:sz="4" w:space="0"/>
              <w:left w:val="nil"/>
              <w:bottom w:val="single" w:color="auto" w:sz="4" w:space="0"/>
              <w:right w:val="single" w:color="auto" w:sz="4" w:space="0"/>
            </w:tcBorders>
            <w:noWrap w:val="0"/>
            <w:vAlign w:val="center"/>
          </w:tcPr>
          <w:p w14:paraId="7BAB5D54">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PLM生命周期管理系统</w:t>
            </w:r>
          </w:p>
        </w:tc>
        <w:tc>
          <w:tcPr>
            <w:tcW w:w="2318" w:type="dxa"/>
            <w:tcBorders>
              <w:top w:val="single" w:color="auto" w:sz="4" w:space="0"/>
              <w:left w:val="nil"/>
              <w:bottom w:val="single" w:color="auto" w:sz="4" w:space="0"/>
              <w:right w:val="single" w:color="auto" w:sz="4" w:space="0"/>
            </w:tcBorders>
            <w:noWrap w:val="0"/>
            <w:vAlign w:val="center"/>
          </w:tcPr>
          <w:p w14:paraId="30C7847A">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面向陶瓷行业企业的PLM系统</w:t>
            </w:r>
          </w:p>
        </w:tc>
        <w:tc>
          <w:tcPr>
            <w:tcW w:w="4387" w:type="dxa"/>
            <w:tcBorders>
              <w:top w:val="single" w:color="auto" w:sz="4" w:space="0"/>
              <w:left w:val="nil"/>
              <w:bottom w:val="single" w:color="auto" w:sz="4" w:space="0"/>
              <w:right w:val="single" w:color="auto" w:sz="4" w:space="0"/>
            </w:tcBorders>
            <w:noWrap w:val="0"/>
            <w:vAlign w:val="center"/>
          </w:tcPr>
          <w:p w14:paraId="34F616A8">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包含产品生命周期管理、BOM、实验室</w:t>
            </w:r>
          </w:p>
          <w:p w14:paraId="6515ABB1">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管理、研发项目管理等功能</w:t>
            </w:r>
          </w:p>
        </w:tc>
        <w:tc>
          <w:tcPr>
            <w:tcW w:w="1551" w:type="dxa"/>
            <w:tcBorders>
              <w:top w:val="single" w:color="auto" w:sz="4" w:space="0"/>
              <w:left w:val="nil"/>
              <w:bottom w:val="single" w:color="auto" w:sz="4" w:space="0"/>
              <w:right w:val="single" w:color="auto" w:sz="4" w:space="0"/>
            </w:tcBorders>
            <w:noWrap w:val="0"/>
            <w:vAlign w:val="center"/>
          </w:tcPr>
          <w:p w14:paraId="6586C45E">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40万</w:t>
            </w:r>
            <w:r>
              <w:rPr>
                <w:rFonts w:hint="eastAsia" w:ascii="仿宋_GB2312" w:hAnsi="等线" w:eastAsia="仿宋_GB2312" w:cs="宋体"/>
                <w:color w:val="000000"/>
                <w:kern w:val="0"/>
                <w:sz w:val="24"/>
                <w:szCs w:val="24"/>
                <w:lang w:val="en-US" w:eastAsia="zh-CN"/>
              </w:rPr>
              <w:t>元-</w:t>
            </w:r>
            <w:r>
              <w:rPr>
                <w:rFonts w:hint="eastAsia" w:ascii="仿宋_GB2312" w:hAnsi="等线" w:eastAsia="仿宋_GB2312" w:cs="宋体"/>
                <w:color w:val="000000"/>
                <w:kern w:val="0"/>
                <w:sz w:val="24"/>
                <w:szCs w:val="24"/>
              </w:rPr>
              <w:t>100万</w:t>
            </w:r>
            <w:r>
              <w:rPr>
                <w:rFonts w:hint="eastAsia" w:ascii="仿宋_GB2312" w:hAnsi="等线" w:eastAsia="仿宋_GB2312" w:cs="宋体"/>
                <w:color w:val="000000"/>
                <w:kern w:val="0"/>
                <w:sz w:val="24"/>
                <w:szCs w:val="24"/>
                <w:lang w:val="en-US" w:eastAsia="zh-CN"/>
              </w:rPr>
              <w:t>元</w:t>
            </w:r>
          </w:p>
        </w:tc>
        <w:tc>
          <w:tcPr>
            <w:tcW w:w="2133" w:type="dxa"/>
            <w:tcBorders>
              <w:top w:val="single" w:color="auto" w:sz="4" w:space="0"/>
              <w:left w:val="nil"/>
              <w:bottom w:val="single" w:color="auto" w:sz="4" w:space="0"/>
              <w:right w:val="single" w:color="auto" w:sz="4" w:space="0"/>
            </w:tcBorders>
            <w:noWrap w:val="0"/>
            <w:vAlign w:val="center"/>
          </w:tcPr>
          <w:p w14:paraId="798FAE75">
            <w:pPr>
              <w:widowControl/>
              <w:jc w:val="left"/>
              <w:rPr>
                <w:rFonts w:hint="eastAsia" w:ascii="仿宋_GB2312" w:hAnsi="等线" w:eastAsia="仿宋_GB2312" w:cs="宋体"/>
                <w:color w:val="000000"/>
                <w:kern w:val="0"/>
                <w:sz w:val="24"/>
                <w:szCs w:val="24"/>
              </w:rPr>
            </w:pPr>
          </w:p>
        </w:tc>
        <w:tc>
          <w:tcPr>
            <w:tcW w:w="1353" w:type="dxa"/>
            <w:tcBorders>
              <w:top w:val="single" w:color="auto" w:sz="4" w:space="0"/>
              <w:left w:val="nil"/>
              <w:bottom w:val="single" w:color="auto" w:sz="4" w:space="0"/>
              <w:right w:val="single" w:color="auto" w:sz="4" w:space="0"/>
            </w:tcBorders>
            <w:noWrap w:val="0"/>
            <w:vAlign w:val="center"/>
          </w:tcPr>
          <w:p w14:paraId="62E2FFC0">
            <w:pPr>
              <w:widowControl/>
              <w:jc w:val="left"/>
              <w:rPr>
                <w:rFonts w:hint="eastAsia" w:ascii="仿宋_GB2312" w:hAnsi="等线" w:eastAsia="仿宋_GB2312" w:cs="宋体"/>
                <w:color w:val="000000"/>
                <w:kern w:val="0"/>
                <w:sz w:val="24"/>
                <w:szCs w:val="24"/>
              </w:rPr>
            </w:pPr>
          </w:p>
        </w:tc>
      </w:tr>
      <w:tr w14:paraId="70DBB99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noWrap w:val="0"/>
            <w:vAlign w:val="center"/>
          </w:tcPr>
          <w:p w14:paraId="2E88205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6</w:t>
            </w:r>
          </w:p>
        </w:tc>
        <w:tc>
          <w:tcPr>
            <w:tcW w:w="1511" w:type="dxa"/>
            <w:tcBorders>
              <w:top w:val="single" w:color="auto" w:sz="4" w:space="0"/>
              <w:left w:val="nil"/>
              <w:bottom w:val="single" w:color="auto" w:sz="4" w:space="0"/>
              <w:right w:val="single" w:color="auto" w:sz="4" w:space="0"/>
            </w:tcBorders>
            <w:noWrap w:val="0"/>
            <w:vAlign w:val="center"/>
          </w:tcPr>
          <w:p w14:paraId="65F29EAE">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WMS智能仓储管理系统</w:t>
            </w:r>
          </w:p>
        </w:tc>
        <w:tc>
          <w:tcPr>
            <w:tcW w:w="2318" w:type="dxa"/>
            <w:tcBorders>
              <w:top w:val="single" w:color="auto" w:sz="4" w:space="0"/>
              <w:left w:val="nil"/>
              <w:bottom w:val="single" w:color="auto" w:sz="4" w:space="0"/>
              <w:right w:val="single" w:color="auto" w:sz="4" w:space="0"/>
            </w:tcBorders>
            <w:noWrap w:val="0"/>
            <w:vAlign w:val="center"/>
          </w:tcPr>
          <w:p w14:paraId="0087CFD1">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面向陶瓷行业企业的WMS系统</w:t>
            </w:r>
          </w:p>
        </w:tc>
        <w:tc>
          <w:tcPr>
            <w:tcW w:w="4387" w:type="dxa"/>
            <w:tcBorders>
              <w:top w:val="single" w:color="auto" w:sz="4" w:space="0"/>
              <w:left w:val="nil"/>
              <w:bottom w:val="single" w:color="auto" w:sz="4" w:space="0"/>
              <w:right w:val="single" w:color="auto" w:sz="4" w:space="0"/>
            </w:tcBorders>
            <w:noWrap w:val="0"/>
            <w:vAlign w:val="center"/>
          </w:tcPr>
          <w:p w14:paraId="1C5BD165">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包含生产进仓、AGV出仓、库存管理、盘点管理等功能</w:t>
            </w:r>
          </w:p>
        </w:tc>
        <w:tc>
          <w:tcPr>
            <w:tcW w:w="1551" w:type="dxa"/>
            <w:tcBorders>
              <w:top w:val="single" w:color="auto" w:sz="4" w:space="0"/>
              <w:left w:val="nil"/>
              <w:bottom w:val="single" w:color="auto" w:sz="4" w:space="0"/>
              <w:right w:val="single" w:color="auto" w:sz="4" w:space="0"/>
            </w:tcBorders>
            <w:noWrap w:val="0"/>
            <w:vAlign w:val="center"/>
          </w:tcPr>
          <w:p w14:paraId="171626B8">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20万</w:t>
            </w:r>
            <w:r>
              <w:rPr>
                <w:rFonts w:hint="eastAsia" w:ascii="仿宋_GB2312" w:hAnsi="等线" w:eastAsia="仿宋_GB2312" w:cs="宋体"/>
                <w:color w:val="000000"/>
                <w:kern w:val="0"/>
                <w:sz w:val="24"/>
                <w:szCs w:val="24"/>
                <w:lang w:val="en-US" w:eastAsia="zh-CN"/>
              </w:rPr>
              <w:t>元-</w:t>
            </w:r>
            <w:r>
              <w:rPr>
                <w:rFonts w:hint="eastAsia" w:ascii="仿宋_GB2312" w:hAnsi="等线" w:eastAsia="仿宋_GB2312" w:cs="宋体"/>
                <w:color w:val="000000"/>
                <w:kern w:val="0"/>
                <w:sz w:val="24"/>
                <w:szCs w:val="24"/>
              </w:rPr>
              <w:t>50万</w:t>
            </w:r>
            <w:r>
              <w:rPr>
                <w:rFonts w:hint="eastAsia" w:ascii="仿宋_GB2312" w:hAnsi="等线" w:eastAsia="仿宋_GB2312" w:cs="宋体"/>
                <w:color w:val="000000"/>
                <w:kern w:val="0"/>
                <w:sz w:val="24"/>
                <w:szCs w:val="24"/>
                <w:lang w:val="en-US" w:eastAsia="zh-CN"/>
              </w:rPr>
              <w:t>元</w:t>
            </w:r>
          </w:p>
        </w:tc>
        <w:tc>
          <w:tcPr>
            <w:tcW w:w="2133" w:type="dxa"/>
            <w:tcBorders>
              <w:top w:val="single" w:color="auto" w:sz="4" w:space="0"/>
              <w:left w:val="nil"/>
              <w:bottom w:val="single" w:color="auto" w:sz="4" w:space="0"/>
              <w:right w:val="single" w:color="auto" w:sz="4" w:space="0"/>
            </w:tcBorders>
            <w:noWrap w:val="0"/>
            <w:vAlign w:val="center"/>
          </w:tcPr>
          <w:p w14:paraId="37684027">
            <w:pPr>
              <w:widowControl/>
              <w:jc w:val="left"/>
              <w:rPr>
                <w:rFonts w:hint="eastAsia" w:ascii="仿宋_GB2312" w:hAnsi="等线" w:eastAsia="仿宋_GB2312" w:cs="宋体"/>
                <w:color w:val="000000"/>
                <w:kern w:val="0"/>
                <w:sz w:val="24"/>
                <w:szCs w:val="24"/>
              </w:rPr>
            </w:pPr>
          </w:p>
        </w:tc>
        <w:tc>
          <w:tcPr>
            <w:tcW w:w="1353" w:type="dxa"/>
            <w:tcBorders>
              <w:top w:val="single" w:color="auto" w:sz="4" w:space="0"/>
              <w:left w:val="nil"/>
              <w:bottom w:val="single" w:color="auto" w:sz="4" w:space="0"/>
              <w:right w:val="single" w:color="auto" w:sz="4" w:space="0"/>
            </w:tcBorders>
            <w:noWrap w:val="0"/>
            <w:vAlign w:val="center"/>
          </w:tcPr>
          <w:p w14:paraId="40E8EDB0">
            <w:pPr>
              <w:widowControl/>
              <w:jc w:val="left"/>
              <w:rPr>
                <w:rFonts w:hint="eastAsia" w:ascii="仿宋_GB2312" w:hAnsi="等线" w:eastAsia="仿宋_GB2312" w:cs="宋体"/>
                <w:color w:val="000000"/>
                <w:kern w:val="0"/>
                <w:sz w:val="24"/>
                <w:szCs w:val="24"/>
              </w:rPr>
            </w:pPr>
          </w:p>
        </w:tc>
      </w:tr>
      <w:tr w14:paraId="2F72FCCE">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noWrap w:val="0"/>
            <w:vAlign w:val="center"/>
          </w:tcPr>
          <w:p w14:paraId="6AB72730">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7</w:t>
            </w:r>
          </w:p>
        </w:tc>
        <w:tc>
          <w:tcPr>
            <w:tcW w:w="1511" w:type="dxa"/>
            <w:tcBorders>
              <w:top w:val="single" w:color="auto" w:sz="4" w:space="0"/>
              <w:left w:val="nil"/>
              <w:bottom w:val="single" w:color="auto" w:sz="4" w:space="0"/>
              <w:right w:val="single" w:color="auto" w:sz="4" w:space="0"/>
            </w:tcBorders>
            <w:noWrap w:val="0"/>
            <w:vAlign w:val="center"/>
          </w:tcPr>
          <w:p w14:paraId="4BE8BCF7">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TMS物流管理系统</w:t>
            </w:r>
          </w:p>
        </w:tc>
        <w:tc>
          <w:tcPr>
            <w:tcW w:w="2318" w:type="dxa"/>
            <w:tcBorders>
              <w:top w:val="single" w:color="auto" w:sz="4" w:space="0"/>
              <w:left w:val="nil"/>
              <w:bottom w:val="single" w:color="auto" w:sz="4" w:space="0"/>
              <w:right w:val="single" w:color="auto" w:sz="4" w:space="0"/>
            </w:tcBorders>
            <w:noWrap w:val="0"/>
            <w:vAlign w:val="center"/>
          </w:tcPr>
          <w:p w14:paraId="1BECB5AB">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面向陶瓷行业企业的TMS系统</w:t>
            </w:r>
          </w:p>
        </w:tc>
        <w:tc>
          <w:tcPr>
            <w:tcW w:w="4387" w:type="dxa"/>
            <w:tcBorders>
              <w:top w:val="single" w:color="auto" w:sz="4" w:space="0"/>
              <w:left w:val="nil"/>
              <w:bottom w:val="single" w:color="auto" w:sz="4" w:space="0"/>
              <w:right w:val="single" w:color="auto" w:sz="4" w:space="0"/>
            </w:tcBorders>
            <w:noWrap w:val="0"/>
            <w:vAlign w:val="center"/>
          </w:tcPr>
          <w:p w14:paraId="292AC9DB">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包含预约系统、装车排程、装车送货、送货签收、物流结算、物流竞价等功能</w:t>
            </w:r>
          </w:p>
        </w:tc>
        <w:tc>
          <w:tcPr>
            <w:tcW w:w="1551" w:type="dxa"/>
            <w:tcBorders>
              <w:top w:val="single" w:color="auto" w:sz="4" w:space="0"/>
              <w:left w:val="nil"/>
              <w:bottom w:val="single" w:color="auto" w:sz="4" w:space="0"/>
              <w:right w:val="single" w:color="auto" w:sz="4" w:space="0"/>
            </w:tcBorders>
            <w:noWrap w:val="0"/>
            <w:vAlign w:val="center"/>
          </w:tcPr>
          <w:p w14:paraId="6AAE4AD0">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20万</w:t>
            </w:r>
            <w:r>
              <w:rPr>
                <w:rFonts w:hint="eastAsia" w:ascii="仿宋_GB2312" w:hAnsi="等线" w:eastAsia="仿宋_GB2312" w:cs="宋体"/>
                <w:color w:val="000000"/>
                <w:kern w:val="0"/>
                <w:sz w:val="24"/>
                <w:szCs w:val="24"/>
                <w:lang w:val="en-US" w:eastAsia="zh-CN"/>
              </w:rPr>
              <w:t>元-</w:t>
            </w:r>
            <w:r>
              <w:rPr>
                <w:rFonts w:hint="eastAsia" w:ascii="仿宋_GB2312" w:hAnsi="等线" w:eastAsia="仿宋_GB2312" w:cs="宋体"/>
                <w:color w:val="000000"/>
                <w:kern w:val="0"/>
                <w:sz w:val="24"/>
                <w:szCs w:val="24"/>
              </w:rPr>
              <w:t>50万</w:t>
            </w:r>
            <w:r>
              <w:rPr>
                <w:rFonts w:hint="eastAsia" w:ascii="仿宋_GB2312" w:hAnsi="等线" w:eastAsia="仿宋_GB2312" w:cs="宋体"/>
                <w:color w:val="000000"/>
                <w:kern w:val="0"/>
                <w:sz w:val="24"/>
                <w:szCs w:val="24"/>
                <w:lang w:val="en-US" w:eastAsia="zh-CN"/>
              </w:rPr>
              <w:t>元</w:t>
            </w:r>
          </w:p>
        </w:tc>
        <w:tc>
          <w:tcPr>
            <w:tcW w:w="2133" w:type="dxa"/>
            <w:tcBorders>
              <w:top w:val="single" w:color="auto" w:sz="4" w:space="0"/>
              <w:left w:val="nil"/>
              <w:bottom w:val="single" w:color="auto" w:sz="4" w:space="0"/>
              <w:right w:val="single" w:color="auto" w:sz="4" w:space="0"/>
            </w:tcBorders>
            <w:noWrap w:val="0"/>
            <w:vAlign w:val="center"/>
          </w:tcPr>
          <w:p w14:paraId="50081F96">
            <w:pPr>
              <w:widowControl/>
              <w:jc w:val="left"/>
              <w:rPr>
                <w:rFonts w:hint="eastAsia" w:ascii="仿宋_GB2312" w:hAnsi="等线" w:eastAsia="仿宋_GB2312" w:cs="宋体"/>
                <w:color w:val="000000"/>
                <w:kern w:val="0"/>
                <w:sz w:val="24"/>
                <w:szCs w:val="24"/>
              </w:rPr>
            </w:pPr>
          </w:p>
        </w:tc>
        <w:tc>
          <w:tcPr>
            <w:tcW w:w="1353" w:type="dxa"/>
            <w:tcBorders>
              <w:top w:val="single" w:color="auto" w:sz="4" w:space="0"/>
              <w:left w:val="nil"/>
              <w:bottom w:val="single" w:color="auto" w:sz="4" w:space="0"/>
              <w:right w:val="single" w:color="auto" w:sz="4" w:space="0"/>
            </w:tcBorders>
            <w:noWrap w:val="0"/>
            <w:vAlign w:val="center"/>
          </w:tcPr>
          <w:p w14:paraId="6690EA21">
            <w:pPr>
              <w:widowControl/>
              <w:jc w:val="left"/>
              <w:rPr>
                <w:rFonts w:hint="eastAsia" w:ascii="仿宋_GB2312" w:hAnsi="等线" w:eastAsia="仿宋_GB2312" w:cs="宋体"/>
                <w:color w:val="000000"/>
                <w:kern w:val="0"/>
                <w:sz w:val="24"/>
                <w:szCs w:val="24"/>
              </w:rPr>
            </w:pPr>
          </w:p>
        </w:tc>
      </w:tr>
      <w:tr w14:paraId="0AF825C6">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noWrap w:val="0"/>
            <w:vAlign w:val="center"/>
          </w:tcPr>
          <w:p w14:paraId="53A8088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8</w:t>
            </w:r>
          </w:p>
        </w:tc>
        <w:tc>
          <w:tcPr>
            <w:tcW w:w="1511" w:type="dxa"/>
            <w:tcBorders>
              <w:top w:val="single" w:color="auto" w:sz="4" w:space="0"/>
              <w:left w:val="nil"/>
              <w:bottom w:val="single" w:color="auto" w:sz="4" w:space="0"/>
              <w:right w:val="single" w:color="auto" w:sz="4" w:space="0"/>
            </w:tcBorders>
            <w:noWrap w:val="0"/>
            <w:vAlign w:val="center"/>
          </w:tcPr>
          <w:p w14:paraId="30D5E2A1">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主数据平台</w:t>
            </w:r>
          </w:p>
        </w:tc>
        <w:tc>
          <w:tcPr>
            <w:tcW w:w="2318" w:type="dxa"/>
            <w:tcBorders>
              <w:top w:val="single" w:color="auto" w:sz="4" w:space="0"/>
              <w:left w:val="nil"/>
              <w:bottom w:val="single" w:color="auto" w:sz="4" w:space="0"/>
              <w:right w:val="single" w:color="auto" w:sz="4" w:space="0"/>
            </w:tcBorders>
            <w:noWrap w:val="0"/>
            <w:vAlign w:val="center"/>
          </w:tcPr>
          <w:p w14:paraId="68E3727D">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面向陶瓷、化工行业企业的主数据平台</w:t>
            </w:r>
          </w:p>
        </w:tc>
        <w:tc>
          <w:tcPr>
            <w:tcW w:w="4387" w:type="dxa"/>
            <w:tcBorders>
              <w:top w:val="single" w:color="auto" w:sz="4" w:space="0"/>
              <w:left w:val="nil"/>
              <w:bottom w:val="single" w:color="auto" w:sz="4" w:space="0"/>
              <w:right w:val="single" w:color="auto" w:sz="4" w:space="0"/>
            </w:tcBorders>
            <w:noWrap w:val="0"/>
            <w:vAlign w:val="center"/>
          </w:tcPr>
          <w:p w14:paraId="745B1F32">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包含主数据平台（员工、产品、供应商、客户、科目、材料等数据）等功能</w:t>
            </w:r>
          </w:p>
        </w:tc>
        <w:tc>
          <w:tcPr>
            <w:tcW w:w="1551" w:type="dxa"/>
            <w:tcBorders>
              <w:top w:val="single" w:color="auto" w:sz="4" w:space="0"/>
              <w:left w:val="nil"/>
              <w:bottom w:val="single" w:color="auto" w:sz="4" w:space="0"/>
              <w:right w:val="single" w:color="auto" w:sz="4" w:space="0"/>
            </w:tcBorders>
            <w:noWrap w:val="0"/>
            <w:vAlign w:val="center"/>
          </w:tcPr>
          <w:p w14:paraId="3E4B6D50">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50万</w:t>
            </w:r>
            <w:r>
              <w:rPr>
                <w:rFonts w:hint="eastAsia" w:ascii="仿宋_GB2312" w:hAnsi="等线" w:eastAsia="仿宋_GB2312" w:cs="宋体"/>
                <w:color w:val="000000"/>
                <w:kern w:val="0"/>
                <w:sz w:val="24"/>
                <w:szCs w:val="24"/>
                <w:lang w:val="en-US" w:eastAsia="zh-CN"/>
              </w:rPr>
              <w:t>元-</w:t>
            </w:r>
            <w:r>
              <w:rPr>
                <w:rFonts w:hint="eastAsia" w:ascii="仿宋_GB2312" w:hAnsi="等线" w:eastAsia="仿宋_GB2312" w:cs="宋体"/>
                <w:color w:val="000000"/>
                <w:kern w:val="0"/>
                <w:sz w:val="24"/>
                <w:szCs w:val="24"/>
              </w:rPr>
              <w:t>70万</w:t>
            </w:r>
            <w:r>
              <w:rPr>
                <w:rFonts w:hint="eastAsia" w:ascii="仿宋_GB2312" w:hAnsi="等线" w:eastAsia="仿宋_GB2312" w:cs="宋体"/>
                <w:color w:val="000000"/>
                <w:kern w:val="0"/>
                <w:sz w:val="24"/>
                <w:szCs w:val="24"/>
                <w:lang w:val="en-US" w:eastAsia="zh-CN"/>
              </w:rPr>
              <w:t>元</w:t>
            </w:r>
          </w:p>
        </w:tc>
        <w:tc>
          <w:tcPr>
            <w:tcW w:w="2133" w:type="dxa"/>
            <w:tcBorders>
              <w:top w:val="single" w:color="auto" w:sz="4" w:space="0"/>
              <w:left w:val="nil"/>
              <w:bottom w:val="single" w:color="auto" w:sz="4" w:space="0"/>
              <w:right w:val="single" w:color="auto" w:sz="4" w:space="0"/>
            </w:tcBorders>
            <w:noWrap w:val="0"/>
            <w:vAlign w:val="center"/>
          </w:tcPr>
          <w:p w14:paraId="6FDDD683">
            <w:pPr>
              <w:widowControl/>
              <w:jc w:val="left"/>
              <w:rPr>
                <w:rFonts w:hint="eastAsia" w:ascii="仿宋_GB2312" w:hAnsi="等线" w:eastAsia="仿宋_GB2312" w:cs="宋体"/>
                <w:color w:val="000000"/>
                <w:kern w:val="0"/>
                <w:sz w:val="24"/>
                <w:szCs w:val="24"/>
              </w:rPr>
            </w:pPr>
          </w:p>
        </w:tc>
        <w:tc>
          <w:tcPr>
            <w:tcW w:w="1353" w:type="dxa"/>
            <w:tcBorders>
              <w:top w:val="single" w:color="auto" w:sz="4" w:space="0"/>
              <w:left w:val="nil"/>
              <w:bottom w:val="single" w:color="auto" w:sz="4" w:space="0"/>
              <w:right w:val="single" w:color="auto" w:sz="4" w:space="0"/>
            </w:tcBorders>
            <w:noWrap w:val="0"/>
            <w:vAlign w:val="center"/>
          </w:tcPr>
          <w:p w14:paraId="0085C149">
            <w:pPr>
              <w:widowControl/>
              <w:jc w:val="left"/>
              <w:rPr>
                <w:rFonts w:hint="eastAsia" w:ascii="仿宋_GB2312" w:hAnsi="等线" w:eastAsia="仿宋_GB2312" w:cs="宋体"/>
                <w:color w:val="000000"/>
                <w:kern w:val="0"/>
                <w:sz w:val="24"/>
                <w:szCs w:val="24"/>
              </w:rPr>
            </w:pPr>
          </w:p>
        </w:tc>
      </w:tr>
      <w:tr w14:paraId="12C45F94">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noWrap w:val="0"/>
            <w:vAlign w:val="center"/>
          </w:tcPr>
          <w:p w14:paraId="40807C0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9</w:t>
            </w:r>
          </w:p>
        </w:tc>
        <w:tc>
          <w:tcPr>
            <w:tcW w:w="1511" w:type="dxa"/>
            <w:tcBorders>
              <w:top w:val="single" w:color="auto" w:sz="4" w:space="0"/>
              <w:left w:val="nil"/>
              <w:bottom w:val="single" w:color="auto" w:sz="4" w:space="0"/>
              <w:right w:val="single" w:color="auto" w:sz="4" w:space="0"/>
            </w:tcBorders>
            <w:noWrap w:val="0"/>
            <w:vAlign w:val="center"/>
          </w:tcPr>
          <w:p w14:paraId="242F8FC3">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SRM供应商管理系统</w:t>
            </w:r>
          </w:p>
        </w:tc>
        <w:tc>
          <w:tcPr>
            <w:tcW w:w="2318" w:type="dxa"/>
            <w:tcBorders>
              <w:top w:val="single" w:color="auto" w:sz="4" w:space="0"/>
              <w:left w:val="nil"/>
              <w:bottom w:val="single" w:color="auto" w:sz="4" w:space="0"/>
              <w:right w:val="single" w:color="auto" w:sz="4" w:space="0"/>
            </w:tcBorders>
            <w:noWrap w:val="0"/>
            <w:vAlign w:val="center"/>
          </w:tcPr>
          <w:p w14:paraId="5180F630">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面向陶瓷行业企业的SRM系统</w:t>
            </w:r>
          </w:p>
        </w:tc>
        <w:tc>
          <w:tcPr>
            <w:tcW w:w="4387" w:type="dxa"/>
            <w:tcBorders>
              <w:top w:val="single" w:color="auto" w:sz="4" w:space="0"/>
              <w:left w:val="nil"/>
              <w:bottom w:val="single" w:color="auto" w:sz="4" w:space="0"/>
              <w:right w:val="single" w:color="auto" w:sz="4" w:space="0"/>
            </w:tcBorders>
            <w:noWrap w:val="0"/>
            <w:vAlign w:val="center"/>
          </w:tcPr>
          <w:p w14:paraId="4C11191D">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 xml:space="preserve">包含从供应商寻源、供应商注册、招投标管理、合同管理、供应商自助平台、供应商评分等功能 </w:t>
            </w:r>
          </w:p>
        </w:tc>
        <w:tc>
          <w:tcPr>
            <w:tcW w:w="1551" w:type="dxa"/>
            <w:tcBorders>
              <w:top w:val="single" w:color="auto" w:sz="4" w:space="0"/>
              <w:left w:val="nil"/>
              <w:bottom w:val="single" w:color="auto" w:sz="4" w:space="0"/>
              <w:right w:val="single" w:color="auto" w:sz="4" w:space="0"/>
            </w:tcBorders>
            <w:noWrap w:val="0"/>
            <w:vAlign w:val="center"/>
          </w:tcPr>
          <w:p w14:paraId="571BA4EB">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20万</w:t>
            </w:r>
            <w:r>
              <w:rPr>
                <w:rFonts w:hint="eastAsia" w:ascii="仿宋_GB2312" w:hAnsi="等线" w:eastAsia="仿宋_GB2312" w:cs="宋体"/>
                <w:color w:val="000000"/>
                <w:kern w:val="0"/>
                <w:sz w:val="24"/>
                <w:szCs w:val="24"/>
                <w:lang w:val="en-US" w:eastAsia="zh-CN"/>
              </w:rPr>
              <w:t>元-</w:t>
            </w:r>
            <w:r>
              <w:rPr>
                <w:rFonts w:hint="eastAsia" w:ascii="仿宋_GB2312" w:hAnsi="等线" w:eastAsia="仿宋_GB2312" w:cs="宋体"/>
                <w:color w:val="000000"/>
                <w:kern w:val="0"/>
                <w:sz w:val="24"/>
                <w:szCs w:val="24"/>
              </w:rPr>
              <w:t>60万</w:t>
            </w:r>
            <w:r>
              <w:rPr>
                <w:rFonts w:hint="eastAsia" w:ascii="仿宋_GB2312" w:hAnsi="等线" w:eastAsia="仿宋_GB2312" w:cs="宋体"/>
                <w:color w:val="000000"/>
                <w:kern w:val="0"/>
                <w:sz w:val="24"/>
                <w:szCs w:val="24"/>
                <w:lang w:val="en-US" w:eastAsia="zh-CN"/>
              </w:rPr>
              <w:t>元</w:t>
            </w:r>
          </w:p>
        </w:tc>
        <w:tc>
          <w:tcPr>
            <w:tcW w:w="2133" w:type="dxa"/>
            <w:tcBorders>
              <w:top w:val="single" w:color="auto" w:sz="4" w:space="0"/>
              <w:left w:val="nil"/>
              <w:bottom w:val="single" w:color="auto" w:sz="4" w:space="0"/>
              <w:right w:val="single" w:color="auto" w:sz="4" w:space="0"/>
            </w:tcBorders>
            <w:noWrap w:val="0"/>
            <w:vAlign w:val="center"/>
          </w:tcPr>
          <w:p w14:paraId="23A61F90">
            <w:pPr>
              <w:widowControl/>
              <w:jc w:val="left"/>
              <w:rPr>
                <w:rFonts w:hint="eastAsia" w:ascii="仿宋_GB2312" w:hAnsi="等线" w:eastAsia="仿宋_GB2312" w:cs="宋体"/>
                <w:color w:val="000000"/>
                <w:kern w:val="0"/>
                <w:sz w:val="24"/>
                <w:szCs w:val="24"/>
              </w:rPr>
            </w:pPr>
          </w:p>
        </w:tc>
        <w:tc>
          <w:tcPr>
            <w:tcW w:w="1353" w:type="dxa"/>
            <w:tcBorders>
              <w:top w:val="single" w:color="auto" w:sz="4" w:space="0"/>
              <w:left w:val="nil"/>
              <w:bottom w:val="single" w:color="auto" w:sz="4" w:space="0"/>
              <w:right w:val="single" w:color="auto" w:sz="4" w:space="0"/>
            </w:tcBorders>
            <w:noWrap w:val="0"/>
            <w:vAlign w:val="center"/>
          </w:tcPr>
          <w:p w14:paraId="748F9DDC">
            <w:pPr>
              <w:widowControl/>
              <w:jc w:val="left"/>
              <w:rPr>
                <w:rFonts w:hint="eastAsia" w:ascii="仿宋_GB2312" w:hAnsi="等线" w:eastAsia="仿宋_GB2312" w:cs="宋体"/>
                <w:color w:val="000000"/>
                <w:kern w:val="0"/>
                <w:sz w:val="24"/>
                <w:szCs w:val="24"/>
              </w:rPr>
            </w:pPr>
          </w:p>
        </w:tc>
      </w:tr>
      <w:tr w14:paraId="5ACB500C">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noWrap w:val="0"/>
            <w:vAlign w:val="center"/>
          </w:tcPr>
          <w:p w14:paraId="0282FC6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10</w:t>
            </w:r>
          </w:p>
        </w:tc>
        <w:tc>
          <w:tcPr>
            <w:tcW w:w="1511" w:type="dxa"/>
            <w:tcBorders>
              <w:top w:val="single" w:color="auto" w:sz="4" w:space="0"/>
              <w:left w:val="nil"/>
              <w:bottom w:val="single" w:color="auto" w:sz="4" w:space="0"/>
              <w:right w:val="single" w:color="auto" w:sz="4" w:space="0"/>
            </w:tcBorders>
            <w:noWrap w:val="0"/>
            <w:vAlign w:val="center"/>
          </w:tcPr>
          <w:p w14:paraId="0D7ECDCA">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HR人力资源管理系统</w:t>
            </w:r>
          </w:p>
        </w:tc>
        <w:tc>
          <w:tcPr>
            <w:tcW w:w="2318" w:type="dxa"/>
            <w:tcBorders>
              <w:top w:val="single" w:color="auto" w:sz="4" w:space="0"/>
              <w:left w:val="nil"/>
              <w:bottom w:val="single" w:color="auto" w:sz="4" w:space="0"/>
              <w:right w:val="single" w:color="auto" w:sz="4" w:space="0"/>
            </w:tcBorders>
            <w:noWrap w:val="0"/>
            <w:vAlign w:val="center"/>
          </w:tcPr>
          <w:p w14:paraId="7C7D8406">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面向陶瓷行业企业的HR系统</w:t>
            </w:r>
          </w:p>
        </w:tc>
        <w:tc>
          <w:tcPr>
            <w:tcW w:w="4387" w:type="dxa"/>
            <w:tcBorders>
              <w:top w:val="single" w:color="auto" w:sz="4" w:space="0"/>
              <w:left w:val="nil"/>
              <w:bottom w:val="single" w:color="auto" w:sz="4" w:space="0"/>
              <w:right w:val="single" w:color="auto" w:sz="4" w:space="0"/>
            </w:tcBorders>
            <w:noWrap w:val="0"/>
            <w:vAlign w:val="center"/>
          </w:tcPr>
          <w:p w14:paraId="236554A0">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包含拉通人资与结算和核算系统，培训管理、绩效管理、考勤管理、计时工资、计件工资等功能等功能</w:t>
            </w:r>
          </w:p>
        </w:tc>
        <w:tc>
          <w:tcPr>
            <w:tcW w:w="1551" w:type="dxa"/>
            <w:tcBorders>
              <w:top w:val="single" w:color="auto" w:sz="4" w:space="0"/>
              <w:left w:val="nil"/>
              <w:bottom w:val="single" w:color="auto" w:sz="4" w:space="0"/>
              <w:right w:val="single" w:color="auto" w:sz="4" w:space="0"/>
            </w:tcBorders>
            <w:noWrap w:val="0"/>
            <w:vAlign w:val="center"/>
          </w:tcPr>
          <w:p w14:paraId="35DCA920">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15万</w:t>
            </w:r>
            <w:r>
              <w:rPr>
                <w:rFonts w:hint="eastAsia" w:ascii="仿宋_GB2312" w:hAnsi="等线" w:eastAsia="仿宋_GB2312" w:cs="宋体"/>
                <w:color w:val="000000"/>
                <w:kern w:val="0"/>
                <w:sz w:val="24"/>
                <w:szCs w:val="24"/>
                <w:lang w:val="en-US" w:eastAsia="zh-CN"/>
              </w:rPr>
              <w:t>元-</w:t>
            </w:r>
            <w:r>
              <w:rPr>
                <w:rFonts w:hint="eastAsia" w:ascii="仿宋_GB2312" w:hAnsi="等线" w:eastAsia="仿宋_GB2312" w:cs="宋体"/>
                <w:color w:val="000000"/>
                <w:kern w:val="0"/>
                <w:sz w:val="24"/>
                <w:szCs w:val="24"/>
              </w:rPr>
              <w:t>50万</w:t>
            </w:r>
            <w:r>
              <w:rPr>
                <w:rFonts w:hint="eastAsia" w:ascii="仿宋_GB2312" w:hAnsi="等线" w:eastAsia="仿宋_GB2312" w:cs="宋体"/>
                <w:color w:val="000000"/>
                <w:kern w:val="0"/>
                <w:sz w:val="24"/>
                <w:szCs w:val="24"/>
                <w:lang w:val="en-US" w:eastAsia="zh-CN"/>
              </w:rPr>
              <w:t>元</w:t>
            </w:r>
          </w:p>
        </w:tc>
        <w:tc>
          <w:tcPr>
            <w:tcW w:w="2133" w:type="dxa"/>
            <w:tcBorders>
              <w:top w:val="single" w:color="auto" w:sz="4" w:space="0"/>
              <w:left w:val="nil"/>
              <w:bottom w:val="single" w:color="auto" w:sz="4" w:space="0"/>
              <w:right w:val="single" w:color="auto" w:sz="4" w:space="0"/>
            </w:tcBorders>
            <w:noWrap w:val="0"/>
            <w:vAlign w:val="center"/>
          </w:tcPr>
          <w:p w14:paraId="3247D4B5">
            <w:pPr>
              <w:widowControl/>
              <w:jc w:val="left"/>
              <w:rPr>
                <w:rFonts w:hint="eastAsia" w:ascii="仿宋_GB2312" w:hAnsi="等线" w:eastAsia="仿宋_GB2312" w:cs="宋体"/>
                <w:color w:val="000000"/>
                <w:kern w:val="0"/>
                <w:sz w:val="24"/>
                <w:szCs w:val="24"/>
              </w:rPr>
            </w:pPr>
          </w:p>
        </w:tc>
        <w:tc>
          <w:tcPr>
            <w:tcW w:w="1353" w:type="dxa"/>
            <w:tcBorders>
              <w:top w:val="single" w:color="auto" w:sz="4" w:space="0"/>
              <w:left w:val="nil"/>
              <w:bottom w:val="single" w:color="auto" w:sz="4" w:space="0"/>
              <w:right w:val="single" w:color="auto" w:sz="4" w:space="0"/>
            </w:tcBorders>
            <w:noWrap w:val="0"/>
            <w:vAlign w:val="center"/>
          </w:tcPr>
          <w:p w14:paraId="46EB3157">
            <w:pPr>
              <w:widowControl/>
              <w:jc w:val="left"/>
              <w:rPr>
                <w:rFonts w:hint="eastAsia" w:ascii="仿宋_GB2312" w:hAnsi="等线" w:eastAsia="仿宋_GB2312" w:cs="宋体"/>
                <w:color w:val="000000"/>
                <w:kern w:val="0"/>
                <w:sz w:val="24"/>
                <w:szCs w:val="24"/>
              </w:rPr>
            </w:pPr>
          </w:p>
        </w:tc>
      </w:tr>
      <w:tr w14:paraId="1DBE7D20">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noWrap w:val="0"/>
            <w:vAlign w:val="center"/>
          </w:tcPr>
          <w:p w14:paraId="3556B2D0">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11</w:t>
            </w:r>
          </w:p>
        </w:tc>
        <w:tc>
          <w:tcPr>
            <w:tcW w:w="1511" w:type="dxa"/>
            <w:tcBorders>
              <w:top w:val="single" w:color="auto" w:sz="4" w:space="0"/>
              <w:left w:val="nil"/>
              <w:bottom w:val="single" w:color="auto" w:sz="4" w:space="0"/>
              <w:right w:val="single" w:color="auto" w:sz="4" w:space="0"/>
            </w:tcBorders>
            <w:noWrap w:val="0"/>
            <w:vAlign w:val="center"/>
          </w:tcPr>
          <w:p w14:paraId="312FA966">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新零售平台</w:t>
            </w:r>
          </w:p>
        </w:tc>
        <w:tc>
          <w:tcPr>
            <w:tcW w:w="2318" w:type="dxa"/>
            <w:tcBorders>
              <w:top w:val="single" w:color="auto" w:sz="4" w:space="0"/>
              <w:left w:val="nil"/>
              <w:bottom w:val="single" w:color="auto" w:sz="4" w:space="0"/>
              <w:right w:val="single" w:color="auto" w:sz="4" w:space="0"/>
            </w:tcBorders>
            <w:noWrap w:val="0"/>
            <w:vAlign w:val="center"/>
          </w:tcPr>
          <w:p w14:paraId="47B91C07">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面向陶瓷等泛家居企业的新零售的系统</w:t>
            </w:r>
          </w:p>
        </w:tc>
        <w:tc>
          <w:tcPr>
            <w:tcW w:w="4387" w:type="dxa"/>
            <w:tcBorders>
              <w:top w:val="single" w:color="auto" w:sz="4" w:space="0"/>
              <w:left w:val="nil"/>
              <w:bottom w:val="single" w:color="auto" w:sz="4" w:space="0"/>
              <w:right w:val="single" w:color="auto" w:sz="4" w:space="0"/>
            </w:tcBorders>
            <w:noWrap w:val="0"/>
            <w:vAlign w:val="center"/>
          </w:tcPr>
          <w:p w14:paraId="1340F2C5">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包括门店CRM跟进、抖音本地生活核销、门店话术管理、产品知识库等功能</w:t>
            </w:r>
          </w:p>
        </w:tc>
        <w:tc>
          <w:tcPr>
            <w:tcW w:w="1551" w:type="dxa"/>
            <w:tcBorders>
              <w:top w:val="single" w:color="auto" w:sz="4" w:space="0"/>
              <w:left w:val="nil"/>
              <w:bottom w:val="single" w:color="auto" w:sz="4" w:space="0"/>
              <w:right w:val="single" w:color="auto" w:sz="4" w:space="0"/>
            </w:tcBorders>
            <w:noWrap w:val="0"/>
            <w:vAlign w:val="center"/>
          </w:tcPr>
          <w:p w14:paraId="224BD9C3">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50万</w:t>
            </w:r>
            <w:r>
              <w:rPr>
                <w:rFonts w:hint="eastAsia" w:ascii="仿宋_GB2312" w:hAnsi="等线" w:eastAsia="仿宋_GB2312" w:cs="宋体"/>
                <w:color w:val="000000"/>
                <w:kern w:val="0"/>
                <w:sz w:val="24"/>
                <w:szCs w:val="24"/>
                <w:lang w:val="en-US" w:eastAsia="zh-CN"/>
              </w:rPr>
              <w:t>元-</w:t>
            </w:r>
            <w:r>
              <w:rPr>
                <w:rFonts w:hint="eastAsia" w:ascii="仿宋_GB2312" w:hAnsi="等线" w:eastAsia="仿宋_GB2312" w:cs="宋体"/>
                <w:color w:val="000000"/>
                <w:kern w:val="0"/>
                <w:sz w:val="24"/>
                <w:szCs w:val="24"/>
              </w:rPr>
              <w:t>100万</w:t>
            </w:r>
            <w:r>
              <w:rPr>
                <w:rFonts w:hint="eastAsia" w:ascii="仿宋_GB2312" w:hAnsi="等线" w:eastAsia="仿宋_GB2312" w:cs="宋体"/>
                <w:color w:val="000000"/>
                <w:kern w:val="0"/>
                <w:sz w:val="24"/>
                <w:szCs w:val="24"/>
                <w:lang w:val="en-US" w:eastAsia="zh-CN"/>
              </w:rPr>
              <w:t>元</w:t>
            </w:r>
          </w:p>
        </w:tc>
        <w:tc>
          <w:tcPr>
            <w:tcW w:w="2133" w:type="dxa"/>
            <w:tcBorders>
              <w:top w:val="single" w:color="auto" w:sz="4" w:space="0"/>
              <w:left w:val="nil"/>
              <w:bottom w:val="single" w:color="auto" w:sz="4" w:space="0"/>
              <w:right w:val="single" w:color="auto" w:sz="4" w:space="0"/>
            </w:tcBorders>
            <w:noWrap w:val="0"/>
            <w:vAlign w:val="center"/>
          </w:tcPr>
          <w:p w14:paraId="795C56D5">
            <w:pPr>
              <w:widowControl/>
              <w:jc w:val="left"/>
              <w:rPr>
                <w:rFonts w:hint="eastAsia" w:ascii="仿宋_GB2312" w:hAnsi="等线" w:eastAsia="仿宋_GB2312" w:cs="宋体"/>
                <w:color w:val="000000"/>
                <w:kern w:val="0"/>
                <w:sz w:val="24"/>
                <w:szCs w:val="24"/>
              </w:rPr>
            </w:pPr>
          </w:p>
        </w:tc>
        <w:tc>
          <w:tcPr>
            <w:tcW w:w="1353" w:type="dxa"/>
            <w:tcBorders>
              <w:top w:val="single" w:color="auto" w:sz="4" w:space="0"/>
              <w:left w:val="nil"/>
              <w:bottom w:val="single" w:color="auto" w:sz="4" w:space="0"/>
              <w:right w:val="single" w:color="auto" w:sz="4" w:space="0"/>
            </w:tcBorders>
            <w:noWrap w:val="0"/>
            <w:vAlign w:val="center"/>
          </w:tcPr>
          <w:p w14:paraId="3EE96D2F">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新增</w:t>
            </w:r>
          </w:p>
        </w:tc>
      </w:tr>
    </w:tbl>
    <w:p w14:paraId="541034C3">
      <w:pPr>
        <w:rPr>
          <w:rFonts w:ascii="仿宋_GB2312" w:hAnsi="仿宋_GB2312" w:eastAsia="仿宋_GB2312" w:cs="仿宋_GB2312"/>
          <w:bCs/>
          <w:sz w:val="32"/>
          <w:szCs w:val="32"/>
        </w:rPr>
      </w:pPr>
    </w:p>
    <w:p w14:paraId="4615F8C3">
      <w:pPr>
        <w:rPr>
          <w:rFonts w:ascii="仿宋_GB2312" w:hAnsi="仿宋_GB2312" w:eastAsia="仿宋_GB2312" w:cs="仿宋_GB2312"/>
          <w:bCs/>
          <w:sz w:val="32"/>
          <w:szCs w:val="32"/>
        </w:rPr>
        <w:sectPr>
          <w:footerReference r:id="rId3" w:type="default"/>
          <w:pgSz w:w="16838" w:h="11906" w:orient="landscape"/>
          <w:pgMar w:top="1797" w:right="1440" w:bottom="1797" w:left="1440" w:header="851" w:footer="992" w:gutter="0"/>
          <w:cols w:space="720" w:num="1"/>
          <w:docGrid w:type="lines" w:linePitch="381" w:charSpace="0"/>
        </w:sectPr>
      </w:pPr>
    </w:p>
    <w:p w14:paraId="6CC88DAD">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（二）联合体成员：美云智数科技有限公司</w:t>
      </w:r>
    </w:p>
    <w:tbl>
      <w:tblPr>
        <w:tblStyle w:val="14"/>
        <w:tblW w:w="0" w:type="auto"/>
        <w:tblInd w:w="0" w:type="dxa"/>
        <w:tblLayout w:type="autofit"/>
        <w:tblCellMar>
          <w:top w:w="0" w:type="dxa"/>
          <w:left w:w="108" w:type="dxa"/>
          <w:bottom w:w="0" w:type="dxa"/>
          <w:right w:w="108" w:type="dxa"/>
        </w:tblCellMar>
      </w:tblPr>
      <w:tblGrid>
        <w:gridCol w:w="805"/>
        <w:gridCol w:w="1536"/>
        <w:gridCol w:w="2313"/>
        <w:gridCol w:w="4379"/>
        <w:gridCol w:w="1548"/>
        <w:gridCol w:w="2129"/>
        <w:gridCol w:w="1351"/>
      </w:tblGrid>
      <w:tr w14:paraId="79EE32F9">
        <w:tblPrEx>
          <w:tblCellMar>
            <w:top w:w="0" w:type="dxa"/>
            <w:left w:w="108" w:type="dxa"/>
            <w:bottom w:w="0" w:type="dxa"/>
            <w:right w:w="108" w:type="dxa"/>
          </w:tblCellMar>
        </w:tblPrEx>
        <w:trPr>
          <w:trHeight w:val="601"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27B23EB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36" w:type="dxa"/>
            <w:tcBorders>
              <w:top w:val="single" w:color="auto" w:sz="4" w:space="0"/>
              <w:left w:val="nil"/>
              <w:bottom w:val="single" w:color="auto" w:sz="4" w:space="0"/>
              <w:right w:val="single" w:color="auto" w:sz="4" w:space="0"/>
            </w:tcBorders>
            <w:noWrap w:val="0"/>
            <w:vAlign w:val="center"/>
          </w:tcPr>
          <w:p w14:paraId="3CC7F3B1">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3" w:type="dxa"/>
            <w:tcBorders>
              <w:top w:val="single" w:color="auto" w:sz="4" w:space="0"/>
              <w:left w:val="nil"/>
              <w:bottom w:val="single" w:color="auto" w:sz="4" w:space="0"/>
              <w:right w:val="single" w:color="auto" w:sz="4" w:space="0"/>
            </w:tcBorders>
            <w:noWrap w:val="0"/>
            <w:vAlign w:val="center"/>
          </w:tcPr>
          <w:p w14:paraId="29CBA654">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79" w:type="dxa"/>
            <w:tcBorders>
              <w:top w:val="single" w:color="auto" w:sz="4" w:space="0"/>
              <w:left w:val="nil"/>
              <w:bottom w:val="single" w:color="auto" w:sz="4" w:space="0"/>
              <w:right w:val="single" w:color="auto" w:sz="4" w:space="0"/>
            </w:tcBorders>
            <w:noWrap w:val="0"/>
            <w:vAlign w:val="center"/>
          </w:tcPr>
          <w:p w14:paraId="0172201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48" w:type="dxa"/>
            <w:tcBorders>
              <w:top w:val="single" w:color="auto" w:sz="4" w:space="0"/>
              <w:left w:val="nil"/>
              <w:bottom w:val="single" w:color="auto" w:sz="4" w:space="0"/>
              <w:right w:val="single" w:color="auto" w:sz="4" w:space="0"/>
            </w:tcBorders>
            <w:noWrap w:val="0"/>
            <w:vAlign w:val="center"/>
          </w:tcPr>
          <w:p w14:paraId="4D317850">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r>
              <w:rPr>
                <w:rFonts w:hint="eastAsia" w:ascii="仿宋_GB2312" w:hAnsi="等线" w:eastAsia="仿宋_GB2312" w:cs="宋体"/>
                <w:b/>
                <w:bCs/>
                <w:kern w:val="0"/>
                <w:sz w:val="24"/>
                <w:szCs w:val="24"/>
              </w:rPr>
              <w:t>/万</w:t>
            </w:r>
          </w:p>
        </w:tc>
        <w:tc>
          <w:tcPr>
            <w:tcW w:w="2129" w:type="dxa"/>
            <w:tcBorders>
              <w:top w:val="single" w:color="auto" w:sz="4" w:space="0"/>
              <w:left w:val="nil"/>
              <w:bottom w:val="single" w:color="auto" w:sz="4" w:space="0"/>
              <w:right w:val="single" w:color="auto" w:sz="4" w:space="0"/>
            </w:tcBorders>
            <w:noWrap w:val="0"/>
            <w:vAlign w:val="center"/>
          </w:tcPr>
          <w:p w14:paraId="2BE44DED">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c>
          <w:tcPr>
            <w:tcW w:w="1351" w:type="dxa"/>
            <w:tcBorders>
              <w:top w:val="single" w:color="auto" w:sz="4" w:space="0"/>
              <w:left w:val="nil"/>
              <w:bottom w:val="single" w:color="auto" w:sz="4" w:space="0"/>
              <w:right w:val="single" w:color="auto" w:sz="4" w:space="0"/>
            </w:tcBorders>
            <w:noWrap w:val="0"/>
            <w:vAlign w:val="center"/>
          </w:tcPr>
          <w:p w14:paraId="03026C1C">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是否</w:t>
            </w:r>
          </w:p>
          <w:p w14:paraId="1E8E4619">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新增/修订</w:t>
            </w:r>
          </w:p>
        </w:tc>
      </w:tr>
      <w:tr w14:paraId="07CEC5C8">
        <w:tblPrEx>
          <w:tblCellMar>
            <w:top w:w="0" w:type="dxa"/>
            <w:left w:w="108" w:type="dxa"/>
            <w:bottom w:w="0" w:type="dxa"/>
            <w:right w:w="108" w:type="dxa"/>
          </w:tblCellMar>
        </w:tblPrEx>
        <w:trPr>
          <w:trHeight w:val="601"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2910B3B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w:t>
            </w:r>
          </w:p>
        </w:tc>
        <w:tc>
          <w:tcPr>
            <w:tcW w:w="1536" w:type="dxa"/>
            <w:tcBorders>
              <w:top w:val="single" w:color="auto" w:sz="4" w:space="0"/>
              <w:left w:val="nil"/>
              <w:bottom w:val="single" w:color="auto" w:sz="4" w:space="0"/>
              <w:right w:val="single" w:color="auto" w:sz="4" w:space="0"/>
            </w:tcBorders>
            <w:noWrap w:val="0"/>
            <w:vAlign w:val="center"/>
          </w:tcPr>
          <w:p w14:paraId="15A92165">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PLM</w:t>
            </w:r>
          </w:p>
        </w:tc>
        <w:tc>
          <w:tcPr>
            <w:tcW w:w="2313" w:type="dxa"/>
            <w:tcBorders>
              <w:top w:val="single" w:color="auto" w:sz="4" w:space="0"/>
              <w:left w:val="nil"/>
              <w:bottom w:val="single" w:color="auto" w:sz="4" w:space="0"/>
              <w:right w:val="single" w:color="auto" w:sz="4" w:space="0"/>
            </w:tcBorders>
            <w:noWrap w:val="0"/>
            <w:vAlign w:val="center"/>
          </w:tcPr>
          <w:p w14:paraId="7155D45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研发</w:t>
            </w:r>
          </w:p>
        </w:tc>
        <w:tc>
          <w:tcPr>
            <w:tcW w:w="4379" w:type="dxa"/>
            <w:tcBorders>
              <w:top w:val="single" w:color="auto" w:sz="4" w:space="0"/>
              <w:left w:val="nil"/>
              <w:bottom w:val="single" w:color="auto" w:sz="4" w:space="0"/>
              <w:right w:val="single" w:color="auto" w:sz="4" w:space="0"/>
            </w:tcBorders>
            <w:noWrap w:val="0"/>
            <w:vAlign w:val="center"/>
          </w:tcPr>
          <w:p w14:paraId="1EB175C9">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帮助企业加快产品创新设计和产品更新迭代、缩短产品开发周期、统一BOM管理、提升开发效率，能够有效提升研发效能</w:t>
            </w:r>
          </w:p>
        </w:tc>
        <w:tc>
          <w:tcPr>
            <w:tcW w:w="1548" w:type="dxa"/>
            <w:tcBorders>
              <w:top w:val="single" w:color="auto" w:sz="4" w:space="0"/>
              <w:left w:val="nil"/>
              <w:bottom w:val="single" w:color="auto" w:sz="4" w:space="0"/>
              <w:right w:val="single" w:color="auto" w:sz="4" w:space="0"/>
            </w:tcBorders>
            <w:noWrap w:val="0"/>
            <w:vAlign w:val="center"/>
          </w:tcPr>
          <w:p w14:paraId="479CC84D">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50</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-75</w:t>
            </w:r>
            <w:r>
              <w:rPr>
                <w:rFonts w:hint="eastAsia" w:ascii="仿宋_GB2312" w:hAnsi="等线" w:eastAsia="仿宋_GB2312" w:cs="宋体"/>
                <w:color w:val="333333"/>
                <w:kern w:val="0"/>
                <w:sz w:val="24"/>
                <w:szCs w:val="24"/>
              </w:rPr>
              <w:t>万元</w:t>
            </w:r>
          </w:p>
        </w:tc>
        <w:tc>
          <w:tcPr>
            <w:tcW w:w="2129" w:type="dxa"/>
            <w:tcBorders>
              <w:top w:val="single" w:color="auto" w:sz="4" w:space="0"/>
              <w:left w:val="nil"/>
              <w:bottom w:val="single" w:color="auto" w:sz="4" w:space="0"/>
              <w:right w:val="single" w:color="auto" w:sz="4" w:space="0"/>
            </w:tcBorders>
            <w:noWrap w:val="0"/>
            <w:vAlign w:val="center"/>
          </w:tcPr>
          <w:p w14:paraId="5139CAB3">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740C204C">
            <w:pPr>
              <w:widowControl/>
              <w:jc w:val="center"/>
              <w:rPr>
                <w:rFonts w:hint="eastAsia" w:ascii="仿宋_GB2312" w:hAnsi="等线" w:eastAsia="仿宋_GB2312" w:cs="宋体"/>
                <w:color w:val="000000"/>
                <w:kern w:val="0"/>
                <w:sz w:val="24"/>
                <w:szCs w:val="24"/>
              </w:rPr>
            </w:pPr>
          </w:p>
        </w:tc>
      </w:tr>
      <w:tr w14:paraId="0F6D6C5B">
        <w:tblPrEx>
          <w:tblCellMar>
            <w:top w:w="0" w:type="dxa"/>
            <w:left w:w="108" w:type="dxa"/>
            <w:bottom w:w="0" w:type="dxa"/>
            <w:right w:w="108" w:type="dxa"/>
          </w:tblCellMar>
        </w:tblPrEx>
        <w:trPr>
          <w:trHeight w:val="601"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74B8AA7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w:t>
            </w:r>
          </w:p>
        </w:tc>
        <w:tc>
          <w:tcPr>
            <w:tcW w:w="1536" w:type="dxa"/>
            <w:tcBorders>
              <w:top w:val="single" w:color="auto" w:sz="4" w:space="0"/>
              <w:left w:val="nil"/>
              <w:bottom w:val="single" w:color="auto" w:sz="4" w:space="0"/>
              <w:right w:val="single" w:color="auto" w:sz="4" w:space="0"/>
            </w:tcBorders>
            <w:noWrap w:val="0"/>
            <w:vAlign w:val="center"/>
          </w:tcPr>
          <w:p w14:paraId="2FFBAE22">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GPM</w:t>
            </w:r>
          </w:p>
        </w:tc>
        <w:tc>
          <w:tcPr>
            <w:tcW w:w="2313" w:type="dxa"/>
            <w:tcBorders>
              <w:top w:val="single" w:color="auto" w:sz="4" w:space="0"/>
              <w:left w:val="nil"/>
              <w:bottom w:val="single" w:color="auto" w:sz="4" w:space="0"/>
              <w:right w:val="single" w:color="auto" w:sz="4" w:space="0"/>
            </w:tcBorders>
            <w:noWrap w:val="0"/>
            <w:vAlign w:val="center"/>
          </w:tcPr>
          <w:p w14:paraId="45588895">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研发项目管理</w:t>
            </w:r>
          </w:p>
        </w:tc>
        <w:tc>
          <w:tcPr>
            <w:tcW w:w="4379" w:type="dxa"/>
            <w:tcBorders>
              <w:top w:val="single" w:color="auto" w:sz="4" w:space="0"/>
              <w:left w:val="nil"/>
              <w:bottom w:val="single" w:color="auto" w:sz="4" w:space="0"/>
              <w:right w:val="single" w:color="auto" w:sz="4" w:space="0"/>
            </w:tcBorders>
            <w:noWrap w:val="0"/>
            <w:vAlign w:val="center"/>
          </w:tcPr>
          <w:p w14:paraId="1A38A15C">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贯穿项目全生命周期管理，系统可根据业务的实际路径进行配置或客制化定制，模块组件灵活选配实施，领导驾驶舱一目了然，让企业轻松实现项目总览、管控全局</w:t>
            </w:r>
          </w:p>
        </w:tc>
        <w:tc>
          <w:tcPr>
            <w:tcW w:w="1548" w:type="dxa"/>
            <w:tcBorders>
              <w:top w:val="single" w:color="auto" w:sz="4" w:space="0"/>
              <w:left w:val="nil"/>
              <w:bottom w:val="single" w:color="auto" w:sz="4" w:space="0"/>
              <w:right w:val="single" w:color="auto" w:sz="4" w:space="0"/>
            </w:tcBorders>
            <w:noWrap w:val="0"/>
            <w:vAlign w:val="center"/>
          </w:tcPr>
          <w:p w14:paraId="1F0207E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46</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-70</w:t>
            </w:r>
            <w:r>
              <w:rPr>
                <w:rFonts w:hint="eastAsia" w:ascii="仿宋_GB2312" w:hAnsi="等线" w:eastAsia="仿宋_GB2312" w:cs="宋体"/>
                <w:color w:val="333333"/>
                <w:kern w:val="0"/>
                <w:sz w:val="24"/>
                <w:szCs w:val="24"/>
              </w:rPr>
              <w:t>万元</w:t>
            </w:r>
          </w:p>
        </w:tc>
        <w:tc>
          <w:tcPr>
            <w:tcW w:w="2129" w:type="dxa"/>
            <w:tcBorders>
              <w:top w:val="single" w:color="auto" w:sz="4" w:space="0"/>
              <w:left w:val="nil"/>
              <w:bottom w:val="single" w:color="auto" w:sz="4" w:space="0"/>
              <w:right w:val="single" w:color="auto" w:sz="4" w:space="0"/>
            </w:tcBorders>
            <w:noWrap w:val="0"/>
            <w:vAlign w:val="center"/>
          </w:tcPr>
          <w:p w14:paraId="6B990479">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45A72BC8">
            <w:pPr>
              <w:widowControl/>
              <w:jc w:val="center"/>
              <w:rPr>
                <w:rFonts w:hint="eastAsia" w:ascii="仿宋_GB2312" w:hAnsi="等线" w:eastAsia="仿宋_GB2312" w:cs="宋体"/>
                <w:color w:val="000000"/>
                <w:kern w:val="0"/>
                <w:sz w:val="24"/>
                <w:szCs w:val="24"/>
              </w:rPr>
            </w:pPr>
          </w:p>
        </w:tc>
      </w:tr>
      <w:tr w14:paraId="08DFD1D7">
        <w:tblPrEx>
          <w:tblCellMar>
            <w:top w:w="0" w:type="dxa"/>
            <w:left w:w="108" w:type="dxa"/>
            <w:bottom w:w="0" w:type="dxa"/>
            <w:right w:w="108" w:type="dxa"/>
          </w:tblCellMar>
        </w:tblPrEx>
        <w:trPr>
          <w:trHeight w:val="601"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1ABC76AA">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3</w:t>
            </w:r>
          </w:p>
        </w:tc>
        <w:tc>
          <w:tcPr>
            <w:tcW w:w="1536" w:type="dxa"/>
            <w:tcBorders>
              <w:top w:val="single" w:color="auto" w:sz="4" w:space="0"/>
              <w:left w:val="nil"/>
              <w:bottom w:val="single" w:color="auto" w:sz="4" w:space="0"/>
              <w:right w:val="single" w:color="auto" w:sz="4" w:space="0"/>
            </w:tcBorders>
            <w:noWrap w:val="0"/>
            <w:vAlign w:val="center"/>
          </w:tcPr>
          <w:p w14:paraId="7C80D82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MVC</w:t>
            </w:r>
          </w:p>
        </w:tc>
        <w:tc>
          <w:tcPr>
            <w:tcW w:w="2313" w:type="dxa"/>
            <w:tcBorders>
              <w:top w:val="single" w:color="auto" w:sz="4" w:space="0"/>
              <w:left w:val="nil"/>
              <w:bottom w:val="single" w:color="auto" w:sz="4" w:space="0"/>
              <w:right w:val="single" w:color="auto" w:sz="4" w:space="0"/>
            </w:tcBorders>
            <w:noWrap w:val="0"/>
            <w:vAlign w:val="center"/>
          </w:tcPr>
          <w:p w14:paraId="6C4A0552">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工业仿真，工厂规划</w:t>
            </w:r>
          </w:p>
        </w:tc>
        <w:tc>
          <w:tcPr>
            <w:tcW w:w="4379" w:type="dxa"/>
            <w:tcBorders>
              <w:top w:val="single" w:color="auto" w:sz="4" w:space="0"/>
              <w:left w:val="nil"/>
              <w:bottom w:val="single" w:color="auto" w:sz="4" w:space="0"/>
              <w:right w:val="single" w:color="auto" w:sz="4" w:space="0"/>
            </w:tcBorders>
            <w:noWrap w:val="0"/>
            <w:vAlign w:val="center"/>
          </w:tcPr>
          <w:p w14:paraId="3A0F25DF">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集3D工艺仿真、装配仿真、人机协作、物流仿真、机器人仿真、虚拟调试、数字孪生工厂等功能于一体的数字化工业仿真平台，对于新建工厂的产线布局设计、物流规划等，以及提升工厂生产效率都有明显效果</w:t>
            </w:r>
          </w:p>
        </w:tc>
        <w:tc>
          <w:tcPr>
            <w:tcW w:w="1548" w:type="dxa"/>
            <w:tcBorders>
              <w:top w:val="single" w:color="auto" w:sz="4" w:space="0"/>
              <w:left w:val="nil"/>
              <w:bottom w:val="single" w:color="auto" w:sz="4" w:space="0"/>
              <w:right w:val="single" w:color="auto" w:sz="4" w:space="0"/>
            </w:tcBorders>
            <w:noWrap w:val="0"/>
            <w:vAlign w:val="center"/>
          </w:tcPr>
          <w:p w14:paraId="7B0B2AFF">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4.8</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-7.2</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/年</w:t>
            </w:r>
          </w:p>
        </w:tc>
        <w:tc>
          <w:tcPr>
            <w:tcW w:w="2129" w:type="dxa"/>
            <w:tcBorders>
              <w:top w:val="single" w:color="auto" w:sz="4" w:space="0"/>
              <w:left w:val="nil"/>
              <w:bottom w:val="single" w:color="auto" w:sz="4" w:space="0"/>
              <w:right w:val="single" w:color="auto" w:sz="4" w:space="0"/>
            </w:tcBorders>
            <w:noWrap w:val="0"/>
            <w:vAlign w:val="center"/>
          </w:tcPr>
          <w:p w14:paraId="7459188F">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55493791">
            <w:pPr>
              <w:widowControl/>
              <w:jc w:val="center"/>
              <w:rPr>
                <w:rFonts w:hint="eastAsia" w:ascii="仿宋_GB2312" w:hAnsi="等线" w:eastAsia="仿宋_GB2312" w:cs="宋体"/>
                <w:color w:val="000000"/>
                <w:kern w:val="0"/>
                <w:sz w:val="24"/>
                <w:szCs w:val="24"/>
              </w:rPr>
            </w:pPr>
          </w:p>
        </w:tc>
      </w:tr>
      <w:tr w14:paraId="124F079E">
        <w:tblPrEx>
          <w:tblCellMar>
            <w:top w:w="0" w:type="dxa"/>
            <w:left w:w="108" w:type="dxa"/>
            <w:bottom w:w="0" w:type="dxa"/>
            <w:right w:w="108" w:type="dxa"/>
          </w:tblCellMar>
        </w:tblPrEx>
        <w:trPr>
          <w:trHeight w:val="601"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3D00DFCA">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4</w:t>
            </w:r>
          </w:p>
        </w:tc>
        <w:tc>
          <w:tcPr>
            <w:tcW w:w="1536" w:type="dxa"/>
            <w:tcBorders>
              <w:top w:val="single" w:color="auto" w:sz="4" w:space="0"/>
              <w:left w:val="nil"/>
              <w:bottom w:val="single" w:color="auto" w:sz="4" w:space="0"/>
              <w:right w:val="single" w:color="auto" w:sz="4" w:space="0"/>
            </w:tcBorders>
            <w:noWrap w:val="0"/>
            <w:vAlign w:val="center"/>
          </w:tcPr>
          <w:p w14:paraId="4D9AE27D">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MES</w:t>
            </w:r>
          </w:p>
        </w:tc>
        <w:tc>
          <w:tcPr>
            <w:tcW w:w="2313" w:type="dxa"/>
            <w:tcBorders>
              <w:top w:val="single" w:color="auto" w:sz="4" w:space="0"/>
              <w:left w:val="nil"/>
              <w:bottom w:val="single" w:color="auto" w:sz="4" w:space="0"/>
              <w:right w:val="single" w:color="auto" w:sz="4" w:space="0"/>
            </w:tcBorders>
            <w:noWrap w:val="0"/>
            <w:vAlign w:val="center"/>
          </w:tcPr>
          <w:p w14:paraId="20D41585">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生产</w:t>
            </w:r>
          </w:p>
        </w:tc>
        <w:tc>
          <w:tcPr>
            <w:tcW w:w="4379" w:type="dxa"/>
            <w:tcBorders>
              <w:top w:val="single" w:color="auto" w:sz="4" w:space="0"/>
              <w:left w:val="nil"/>
              <w:bottom w:val="single" w:color="auto" w:sz="4" w:space="0"/>
              <w:right w:val="single" w:color="auto" w:sz="4" w:space="0"/>
            </w:tcBorders>
            <w:noWrap w:val="0"/>
            <w:vAlign w:val="center"/>
          </w:tcPr>
          <w:p w14:paraId="275AE938">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为企业提供聚焦交付精准、效率提升、品质改善和数字化透明的智能制造信息化及工业以太网集成解决方案，实现设备自动化、生产透明化、物流智能化、管理移动化、决策数据化</w:t>
            </w:r>
          </w:p>
        </w:tc>
        <w:tc>
          <w:tcPr>
            <w:tcW w:w="1548" w:type="dxa"/>
            <w:tcBorders>
              <w:top w:val="single" w:color="auto" w:sz="4" w:space="0"/>
              <w:left w:val="nil"/>
              <w:bottom w:val="single" w:color="auto" w:sz="4" w:space="0"/>
              <w:right w:val="single" w:color="auto" w:sz="4" w:space="0"/>
            </w:tcBorders>
            <w:noWrap w:val="0"/>
            <w:vAlign w:val="center"/>
          </w:tcPr>
          <w:p w14:paraId="7C55B528">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80</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-160</w:t>
            </w:r>
            <w:r>
              <w:rPr>
                <w:rFonts w:hint="eastAsia" w:ascii="仿宋_GB2312" w:hAnsi="等线" w:eastAsia="仿宋_GB2312" w:cs="宋体"/>
                <w:color w:val="333333"/>
                <w:kern w:val="0"/>
                <w:sz w:val="24"/>
                <w:szCs w:val="24"/>
              </w:rPr>
              <w:t>万元</w:t>
            </w:r>
          </w:p>
        </w:tc>
        <w:tc>
          <w:tcPr>
            <w:tcW w:w="2129" w:type="dxa"/>
            <w:tcBorders>
              <w:top w:val="single" w:color="auto" w:sz="4" w:space="0"/>
              <w:left w:val="nil"/>
              <w:bottom w:val="single" w:color="auto" w:sz="4" w:space="0"/>
              <w:right w:val="single" w:color="auto" w:sz="4" w:space="0"/>
            </w:tcBorders>
            <w:noWrap w:val="0"/>
            <w:vAlign w:val="center"/>
          </w:tcPr>
          <w:p w14:paraId="7A5F8C28">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538DCE88">
            <w:pPr>
              <w:widowControl/>
              <w:jc w:val="center"/>
              <w:rPr>
                <w:rFonts w:hint="eastAsia" w:ascii="仿宋_GB2312" w:hAnsi="等线" w:eastAsia="仿宋_GB2312" w:cs="宋体"/>
                <w:color w:val="000000"/>
                <w:kern w:val="0"/>
                <w:sz w:val="24"/>
                <w:szCs w:val="24"/>
              </w:rPr>
            </w:pPr>
          </w:p>
        </w:tc>
      </w:tr>
      <w:tr w14:paraId="6835EF45">
        <w:tblPrEx>
          <w:tblCellMar>
            <w:top w:w="0" w:type="dxa"/>
            <w:left w:w="108" w:type="dxa"/>
            <w:bottom w:w="0" w:type="dxa"/>
            <w:right w:w="108" w:type="dxa"/>
          </w:tblCellMar>
        </w:tblPrEx>
        <w:trPr>
          <w:trHeight w:val="601"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0919FA0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5</w:t>
            </w:r>
          </w:p>
        </w:tc>
        <w:tc>
          <w:tcPr>
            <w:tcW w:w="1536" w:type="dxa"/>
            <w:tcBorders>
              <w:top w:val="single" w:color="auto" w:sz="4" w:space="0"/>
              <w:left w:val="nil"/>
              <w:bottom w:val="single" w:color="auto" w:sz="4" w:space="0"/>
              <w:right w:val="single" w:color="auto" w:sz="4" w:space="0"/>
            </w:tcBorders>
            <w:noWrap w:val="0"/>
            <w:vAlign w:val="center"/>
          </w:tcPr>
          <w:p w14:paraId="47B39438">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APS</w:t>
            </w:r>
          </w:p>
        </w:tc>
        <w:tc>
          <w:tcPr>
            <w:tcW w:w="2313" w:type="dxa"/>
            <w:tcBorders>
              <w:top w:val="single" w:color="auto" w:sz="4" w:space="0"/>
              <w:left w:val="nil"/>
              <w:bottom w:val="single" w:color="auto" w:sz="4" w:space="0"/>
              <w:right w:val="single" w:color="auto" w:sz="4" w:space="0"/>
            </w:tcBorders>
            <w:noWrap w:val="0"/>
            <w:vAlign w:val="center"/>
          </w:tcPr>
          <w:p w14:paraId="416C320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计划排产</w:t>
            </w:r>
          </w:p>
        </w:tc>
        <w:tc>
          <w:tcPr>
            <w:tcW w:w="4379" w:type="dxa"/>
            <w:tcBorders>
              <w:top w:val="single" w:color="auto" w:sz="4" w:space="0"/>
              <w:left w:val="nil"/>
              <w:bottom w:val="single" w:color="auto" w:sz="4" w:space="0"/>
              <w:right w:val="single" w:color="auto" w:sz="4" w:space="0"/>
            </w:tcBorders>
            <w:noWrap w:val="0"/>
            <w:vAlign w:val="center"/>
          </w:tcPr>
          <w:p w14:paraId="4DBB41B8">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在考虑到生产计划，以及产能数据时，还能结合库存数量、采购日期、到货日期等物料需求结果，在不同的供应链与生产瓶颈阶段给出最优的生产计划与排程，实现快速计划排程并对需求变化做出快速反应。</w:t>
            </w:r>
          </w:p>
        </w:tc>
        <w:tc>
          <w:tcPr>
            <w:tcW w:w="1548" w:type="dxa"/>
            <w:tcBorders>
              <w:top w:val="single" w:color="auto" w:sz="4" w:space="0"/>
              <w:left w:val="nil"/>
              <w:bottom w:val="single" w:color="auto" w:sz="4" w:space="0"/>
              <w:right w:val="single" w:color="auto" w:sz="4" w:space="0"/>
            </w:tcBorders>
            <w:noWrap w:val="0"/>
            <w:vAlign w:val="center"/>
          </w:tcPr>
          <w:p w14:paraId="53D5BB1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176</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-264</w:t>
            </w:r>
            <w:r>
              <w:rPr>
                <w:rFonts w:hint="eastAsia" w:ascii="仿宋_GB2312" w:hAnsi="等线" w:eastAsia="仿宋_GB2312" w:cs="宋体"/>
                <w:color w:val="333333"/>
                <w:kern w:val="0"/>
                <w:sz w:val="24"/>
                <w:szCs w:val="24"/>
              </w:rPr>
              <w:t>万元</w:t>
            </w:r>
          </w:p>
        </w:tc>
        <w:tc>
          <w:tcPr>
            <w:tcW w:w="2129" w:type="dxa"/>
            <w:tcBorders>
              <w:top w:val="single" w:color="auto" w:sz="4" w:space="0"/>
              <w:left w:val="nil"/>
              <w:bottom w:val="single" w:color="auto" w:sz="4" w:space="0"/>
              <w:right w:val="single" w:color="auto" w:sz="4" w:space="0"/>
            </w:tcBorders>
            <w:noWrap w:val="0"/>
            <w:vAlign w:val="center"/>
          </w:tcPr>
          <w:p w14:paraId="421DFDEB">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3CE5E036">
            <w:pPr>
              <w:widowControl/>
              <w:jc w:val="center"/>
              <w:rPr>
                <w:rFonts w:hint="eastAsia" w:ascii="仿宋_GB2312" w:hAnsi="等线" w:eastAsia="仿宋_GB2312" w:cs="宋体"/>
                <w:color w:val="000000"/>
                <w:kern w:val="0"/>
                <w:sz w:val="24"/>
                <w:szCs w:val="24"/>
              </w:rPr>
            </w:pPr>
          </w:p>
        </w:tc>
      </w:tr>
      <w:tr w14:paraId="5727CF55">
        <w:tblPrEx>
          <w:tblCellMar>
            <w:top w:w="0" w:type="dxa"/>
            <w:left w:w="108" w:type="dxa"/>
            <w:bottom w:w="0" w:type="dxa"/>
            <w:right w:w="108" w:type="dxa"/>
          </w:tblCellMar>
        </w:tblPrEx>
        <w:trPr>
          <w:trHeight w:val="611"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0764886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6</w:t>
            </w:r>
          </w:p>
        </w:tc>
        <w:tc>
          <w:tcPr>
            <w:tcW w:w="1536" w:type="dxa"/>
            <w:tcBorders>
              <w:top w:val="single" w:color="auto" w:sz="4" w:space="0"/>
              <w:left w:val="nil"/>
              <w:bottom w:val="single" w:color="auto" w:sz="4" w:space="0"/>
              <w:right w:val="single" w:color="auto" w:sz="4" w:space="0"/>
            </w:tcBorders>
            <w:noWrap w:val="0"/>
            <w:vAlign w:val="center"/>
          </w:tcPr>
          <w:p w14:paraId="3DB57E78">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SCADA</w:t>
            </w:r>
          </w:p>
        </w:tc>
        <w:tc>
          <w:tcPr>
            <w:tcW w:w="2313" w:type="dxa"/>
            <w:tcBorders>
              <w:top w:val="single" w:color="auto" w:sz="4" w:space="0"/>
              <w:left w:val="nil"/>
              <w:bottom w:val="single" w:color="auto" w:sz="4" w:space="0"/>
              <w:right w:val="single" w:color="auto" w:sz="4" w:space="0"/>
            </w:tcBorders>
            <w:noWrap w:val="0"/>
            <w:vAlign w:val="center"/>
          </w:tcPr>
          <w:p w14:paraId="632561E8">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设备联机</w:t>
            </w:r>
          </w:p>
        </w:tc>
        <w:tc>
          <w:tcPr>
            <w:tcW w:w="4379" w:type="dxa"/>
            <w:tcBorders>
              <w:top w:val="single" w:color="auto" w:sz="4" w:space="0"/>
              <w:left w:val="nil"/>
              <w:bottom w:val="single" w:color="auto" w:sz="4" w:space="0"/>
              <w:right w:val="single" w:color="auto" w:sz="4" w:space="0"/>
            </w:tcBorders>
            <w:noWrap w:val="0"/>
            <w:vAlign w:val="center"/>
          </w:tcPr>
          <w:p w14:paraId="77710FB5">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采用软硬结合的方法，打通信息通路，实现设备物联；数据自动采集，设备实时监控，关注数据全面透明化；平台自动异常告警，异常实时捕抓，数字驱动高效闭环。</w:t>
            </w:r>
          </w:p>
        </w:tc>
        <w:tc>
          <w:tcPr>
            <w:tcW w:w="1548" w:type="dxa"/>
            <w:tcBorders>
              <w:top w:val="single" w:color="auto" w:sz="4" w:space="0"/>
              <w:left w:val="nil"/>
              <w:bottom w:val="single" w:color="auto" w:sz="4" w:space="0"/>
              <w:right w:val="single" w:color="auto" w:sz="4" w:space="0"/>
            </w:tcBorders>
            <w:noWrap w:val="0"/>
            <w:vAlign w:val="center"/>
          </w:tcPr>
          <w:p w14:paraId="1F938BBD">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24</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-36</w:t>
            </w:r>
            <w:r>
              <w:rPr>
                <w:rFonts w:hint="eastAsia" w:ascii="仿宋_GB2312" w:hAnsi="等线" w:eastAsia="仿宋_GB2312" w:cs="宋体"/>
                <w:color w:val="333333"/>
                <w:kern w:val="0"/>
                <w:sz w:val="24"/>
                <w:szCs w:val="24"/>
              </w:rPr>
              <w:t>万元</w:t>
            </w:r>
          </w:p>
        </w:tc>
        <w:tc>
          <w:tcPr>
            <w:tcW w:w="2129" w:type="dxa"/>
            <w:tcBorders>
              <w:top w:val="single" w:color="auto" w:sz="4" w:space="0"/>
              <w:left w:val="nil"/>
              <w:bottom w:val="single" w:color="auto" w:sz="4" w:space="0"/>
              <w:right w:val="single" w:color="auto" w:sz="4" w:space="0"/>
            </w:tcBorders>
            <w:noWrap w:val="0"/>
            <w:vAlign w:val="center"/>
          </w:tcPr>
          <w:p w14:paraId="1DD9260A">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65CD5A8F">
            <w:pPr>
              <w:widowControl/>
              <w:jc w:val="center"/>
              <w:rPr>
                <w:rFonts w:hint="eastAsia" w:ascii="仿宋_GB2312" w:hAnsi="等线" w:eastAsia="仿宋_GB2312" w:cs="宋体"/>
                <w:color w:val="000000"/>
                <w:kern w:val="0"/>
                <w:sz w:val="24"/>
                <w:szCs w:val="24"/>
              </w:rPr>
            </w:pPr>
          </w:p>
        </w:tc>
      </w:tr>
      <w:tr w14:paraId="0117E971">
        <w:tblPrEx>
          <w:tblCellMar>
            <w:top w:w="0" w:type="dxa"/>
            <w:left w:w="108" w:type="dxa"/>
            <w:bottom w:w="0" w:type="dxa"/>
            <w:right w:w="108" w:type="dxa"/>
          </w:tblCellMar>
        </w:tblPrEx>
        <w:trPr>
          <w:trHeight w:val="611"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717315FA">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7</w:t>
            </w:r>
          </w:p>
        </w:tc>
        <w:tc>
          <w:tcPr>
            <w:tcW w:w="1536" w:type="dxa"/>
            <w:tcBorders>
              <w:top w:val="single" w:color="auto" w:sz="4" w:space="0"/>
              <w:left w:val="nil"/>
              <w:bottom w:val="single" w:color="auto" w:sz="4" w:space="0"/>
              <w:right w:val="single" w:color="auto" w:sz="4" w:space="0"/>
            </w:tcBorders>
            <w:noWrap w:val="0"/>
            <w:vAlign w:val="center"/>
          </w:tcPr>
          <w:p w14:paraId="788B7DD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ERP</w:t>
            </w:r>
          </w:p>
        </w:tc>
        <w:tc>
          <w:tcPr>
            <w:tcW w:w="2313" w:type="dxa"/>
            <w:tcBorders>
              <w:top w:val="single" w:color="auto" w:sz="4" w:space="0"/>
              <w:left w:val="nil"/>
              <w:bottom w:val="single" w:color="auto" w:sz="4" w:space="0"/>
              <w:right w:val="single" w:color="auto" w:sz="4" w:space="0"/>
            </w:tcBorders>
            <w:noWrap w:val="0"/>
            <w:vAlign w:val="center"/>
          </w:tcPr>
          <w:p w14:paraId="21B6B5F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财务</w:t>
            </w:r>
          </w:p>
        </w:tc>
        <w:tc>
          <w:tcPr>
            <w:tcW w:w="4379" w:type="dxa"/>
            <w:tcBorders>
              <w:top w:val="single" w:color="auto" w:sz="4" w:space="0"/>
              <w:left w:val="nil"/>
              <w:bottom w:val="single" w:color="auto" w:sz="4" w:space="0"/>
              <w:right w:val="single" w:color="auto" w:sz="4" w:space="0"/>
            </w:tcBorders>
            <w:noWrap w:val="0"/>
            <w:vAlign w:val="center"/>
          </w:tcPr>
          <w:p w14:paraId="051EBB06">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对企业所拥有的人、财、物、客户、信息、时间和空间等综合资源进行综合平衡和优化管理，协调企业内外部各管理部门围绕市场导向开展业务活动。</w:t>
            </w:r>
          </w:p>
        </w:tc>
        <w:tc>
          <w:tcPr>
            <w:tcW w:w="1548" w:type="dxa"/>
            <w:tcBorders>
              <w:top w:val="single" w:color="auto" w:sz="4" w:space="0"/>
              <w:left w:val="nil"/>
              <w:bottom w:val="single" w:color="auto" w:sz="4" w:space="0"/>
              <w:right w:val="single" w:color="auto" w:sz="4" w:space="0"/>
            </w:tcBorders>
            <w:noWrap w:val="0"/>
            <w:vAlign w:val="center"/>
          </w:tcPr>
          <w:p w14:paraId="7F7837D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5</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-100</w:t>
            </w:r>
            <w:r>
              <w:rPr>
                <w:rFonts w:hint="eastAsia" w:ascii="仿宋_GB2312" w:hAnsi="等线" w:eastAsia="仿宋_GB2312" w:cs="宋体"/>
                <w:color w:val="333333"/>
                <w:kern w:val="0"/>
                <w:sz w:val="24"/>
                <w:szCs w:val="24"/>
              </w:rPr>
              <w:t>万元</w:t>
            </w:r>
          </w:p>
        </w:tc>
        <w:tc>
          <w:tcPr>
            <w:tcW w:w="2129" w:type="dxa"/>
            <w:tcBorders>
              <w:top w:val="single" w:color="auto" w:sz="4" w:space="0"/>
              <w:left w:val="nil"/>
              <w:bottom w:val="single" w:color="auto" w:sz="4" w:space="0"/>
              <w:right w:val="single" w:color="auto" w:sz="4" w:space="0"/>
            </w:tcBorders>
            <w:noWrap w:val="0"/>
            <w:vAlign w:val="center"/>
          </w:tcPr>
          <w:p w14:paraId="3996A87B">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082AC9BA">
            <w:pPr>
              <w:widowControl/>
              <w:jc w:val="center"/>
              <w:rPr>
                <w:rFonts w:hint="eastAsia" w:ascii="仿宋_GB2312" w:hAnsi="等线" w:eastAsia="仿宋_GB2312" w:cs="宋体"/>
                <w:color w:val="000000"/>
                <w:kern w:val="0"/>
                <w:sz w:val="24"/>
                <w:szCs w:val="24"/>
              </w:rPr>
            </w:pPr>
          </w:p>
        </w:tc>
      </w:tr>
      <w:tr w14:paraId="4ADCDE54">
        <w:tblPrEx>
          <w:tblCellMar>
            <w:top w:w="0" w:type="dxa"/>
            <w:left w:w="108" w:type="dxa"/>
            <w:bottom w:w="0" w:type="dxa"/>
            <w:right w:w="108" w:type="dxa"/>
          </w:tblCellMar>
        </w:tblPrEx>
        <w:trPr>
          <w:trHeight w:val="611"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2882FE45">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8</w:t>
            </w:r>
          </w:p>
        </w:tc>
        <w:tc>
          <w:tcPr>
            <w:tcW w:w="1536" w:type="dxa"/>
            <w:tcBorders>
              <w:top w:val="single" w:color="auto" w:sz="4" w:space="0"/>
              <w:left w:val="nil"/>
              <w:bottom w:val="single" w:color="auto" w:sz="4" w:space="0"/>
              <w:right w:val="single" w:color="auto" w:sz="4" w:space="0"/>
            </w:tcBorders>
            <w:noWrap w:val="0"/>
            <w:vAlign w:val="center"/>
          </w:tcPr>
          <w:p w14:paraId="135BEA5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SRM</w:t>
            </w:r>
          </w:p>
        </w:tc>
        <w:tc>
          <w:tcPr>
            <w:tcW w:w="2313" w:type="dxa"/>
            <w:tcBorders>
              <w:top w:val="single" w:color="auto" w:sz="4" w:space="0"/>
              <w:left w:val="nil"/>
              <w:bottom w:val="single" w:color="auto" w:sz="4" w:space="0"/>
              <w:right w:val="single" w:color="auto" w:sz="4" w:space="0"/>
            </w:tcBorders>
            <w:noWrap w:val="0"/>
            <w:vAlign w:val="center"/>
          </w:tcPr>
          <w:p w14:paraId="13A0BD48">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供应链</w:t>
            </w:r>
          </w:p>
        </w:tc>
        <w:tc>
          <w:tcPr>
            <w:tcW w:w="4379" w:type="dxa"/>
            <w:tcBorders>
              <w:top w:val="single" w:color="auto" w:sz="4" w:space="0"/>
              <w:left w:val="nil"/>
              <w:bottom w:val="single" w:color="auto" w:sz="4" w:space="0"/>
              <w:right w:val="single" w:color="auto" w:sz="4" w:space="0"/>
            </w:tcBorders>
            <w:noWrap w:val="0"/>
            <w:vAlign w:val="center"/>
          </w:tcPr>
          <w:p w14:paraId="48168BFA">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支撑采购供应链规范透明、专业高效的在线化管理，实现供应商生命周期管理、全品类采购在线化、寻源流量池智能推荐等</w:t>
            </w:r>
          </w:p>
        </w:tc>
        <w:tc>
          <w:tcPr>
            <w:tcW w:w="1548" w:type="dxa"/>
            <w:tcBorders>
              <w:top w:val="single" w:color="auto" w:sz="4" w:space="0"/>
              <w:left w:val="nil"/>
              <w:bottom w:val="single" w:color="auto" w:sz="4" w:space="0"/>
              <w:right w:val="single" w:color="auto" w:sz="4" w:space="0"/>
            </w:tcBorders>
            <w:noWrap w:val="0"/>
            <w:vAlign w:val="center"/>
          </w:tcPr>
          <w:p w14:paraId="5F997BD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42.8</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-64.2</w:t>
            </w:r>
            <w:r>
              <w:rPr>
                <w:rFonts w:hint="eastAsia" w:ascii="仿宋_GB2312" w:hAnsi="等线" w:eastAsia="仿宋_GB2312" w:cs="宋体"/>
                <w:color w:val="333333"/>
                <w:kern w:val="0"/>
                <w:sz w:val="24"/>
                <w:szCs w:val="24"/>
              </w:rPr>
              <w:t>万元</w:t>
            </w:r>
          </w:p>
        </w:tc>
        <w:tc>
          <w:tcPr>
            <w:tcW w:w="2129" w:type="dxa"/>
            <w:tcBorders>
              <w:top w:val="single" w:color="auto" w:sz="4" w:space="0"/>
              <w:left w:val="nil"/>
              <w:bottom w:val="single" w:color="auto" w:sz="4" w:space="0"/>
              <w:right w:val="single" w:color="auto" w:sz="4" w:space="0"/>
            </w:tcBorders>
            <w:noWrap w:val="0"/>
            <w:vAlign w:val="center"/>
          </w:tcPr>
          <w:p w14:paraId="4E7B2B55">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7903ACFC">
            <w:pPr>
              <w:widowControl/>
              <w:jc w:val="center"/>
              <w:rPr>
                <w:rFonts w:hint="eastAsia" w:ascii="仿宋_GB2312" w:hAnsi="等线" w:eastAsia="仿宋_GB2312" w:cs="宋体"/>
                <w:color w:val="000000"/>
                <w:kern w:val="0"/>
                <w:sz w:val="24"/>
                <w:szCs w:val="24"/>
              </w:rPr>
            </w:pPr>
          </w:p>
        </w:tc>
      </w:tr>
      <w:tr w14:paraId="3B4425BC">
        <w:tblPrEx>
          <w:tblCellMar>
            <w:top w:w="0" w:type="dxa"/>
            <w:left w:w="108" w:type="dxa"/>
            <w:bottom w:w="0" w:type="dxa"/>
            <w:right w:w="108" w:type="dxa"/>
          </w:tblCellMar>
        </w:tblPrEx>
        <w:trPr>
          <w:trHeight w:val="611"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02C2AEC0">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9</w:t>
            </w:r>
          </w:p>
        </w:tc>
        <w:tc>
          <w:tcPr>
            <w:tcW w:w="1536" w:type="dxa"/>
            <w:tcBorders>
              <w:top w:val="single" w:color="auto" w:sz="4" w:space="0"/>
              <w:left w:val="nil"/>
              <w:bottom w:val="single" w:color="auto" w:sz="4" w:space="0"/>
              <w:right w:val="single" w:color="auto" w:sz="4" w:space="0"/>
            </w:tcBorders>
            <w:noWrap w:val="0"/>
            <w:vAlign w:val="center"/>
          </w:tcPr>
          <w:p w14:paraId="173D9EA5">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品质云</w:t>
            </w:r>
          </w:p>
        </w:tc>
        <w:tc>
          <w:tcPr>
            <w:tcW w:w="2313" w:type="dxa"/>
            <w:tcBorders>
              <w:top w:val="single" w:color="auto" w:sz="4" w:space="0"/>
              <w:left w:val="nil"/>
              <w:bottom w:val="single" w:color="auto" w:sz="4" w:space="0"/>
              <w:right w:val="single" w:color="auto" w:sz="4" w:space="0"/>
            </w:tcBorders>
            <w:noWrap w:val="0"/>
            <w:vAlign w:val="center"/>
          </w:tcPr>
          <w:p w14:paraId="1E32AA8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品质</w:t>
            </w:r>
          </w:p>
        </w:tc>
        <w:tc>
          <w:tcPr>
            <w:tcW w:w="4379" w:type="dxa"/>
            <w:tcBorders>
              <w:top w:val="single" w:color="auto" w:sz="4" w:space="0"/>
              <w:left w:val="nil"/>
              <w:bottom w:val="single" w:color="auto" w:sz="4" w:space="0"/>
              <w:right w:val="single" w:color="auto" w:sz="4" w:space="0"/>
            </w:tcBorders>
            <w:noWrap w:val="0"/>
            <w:vAlign w:val="center"/>
          </w:tcPr>
          <w:p w14:paraId="244359BD">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品质云的搭建对上游实现供方制程过程品质数据在线拉通，及时预判品质风险，有针对性的对供方进行品质管理输出/辅导。</w:t>
            </w:r>
          </w:p>
        </w:tc>
        <w:tc>
          <w:tcPr>
            <w:tcW w:w="1548" w:type="dxa"/>
            <w:tcBorders>
              <w:top w:val="single" w:color="auto" w:sz="4" w:space="0"/>
              <w:left w:val="nil"/>
              <w:bottom w:val="single" w:color="auto" w:sz="4" w:space="0"/>
              <w:right w:val="single" w:color="auto" w:sz="4" w:space="0"/>
            </w:tcBorders>
            <w:noWrap w:val="0"/>
            <w:vAlign w:val="center"/>
          </w:tcPr>
          <w:p w14:paraId="063CC22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0.4</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-0.6</w:t>
            </w:r>
            <w:r>
              <w:rPr>
                <w:rFonts w:hint="eastAsia" w:ascii="仿宋_GB2312" w:hAnsi="等线" w:eastAsia="仿宋_GB2312" w:cs="宋体"/>
                <w:color w:val="333333"/>
                <w:kern w:val="0"/>
                <w:sz w:val="24"/>
                <w:szCs w:val="24"/>
              </w:rPr>
              <w:t>万元</w:t>
            </w:r>
          </w:p>
        </w:tc>
        <w:tc>
          <w:tcPr>
            <w:tcW w:w="2129" w:type="dxa"/>
            <w:tcBorders>
              <w:top w:val="single" w:color="auto" w:sz="4" w:space="0"/>
              <w:left w:val="nil"/>
              <w:bottom w:val="single" w:color="auto" w:sz="4" w:space="0"/>
              <w:right w:val="single" w:color="auto" w:sz="4" w:space="0"/>
            </w:tcBorders>
            <w:noWrap w:val="0"/>
            <w:vAlign w:val="center"/>
          </w:tcPr>
          <w:p w14:paraId="3147102A">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52EDC11A">
            <w:pPr>
              <w:widowControl/>
              <w:jc w:val="center"/>
              <w:rPr>
                <w:rFonts w:hint="eastAsia" w:ascii="仿宋_GB2312" w:hAnsi="等线" w:eastAsia="仿宋_GB2312" w:cs="宋体"/>
                <w:color w:val="000000"/>
                <w:kern w:val="0"/>
                <w:sz w:val="24"/>
                <w:szCs w:val="24"/>
              </w:rPr>
            </w:pPr>
          </w:p>
        </w:tc>
      </w:tr>
      <w:tr w14:paraId="1100472D">
        <w:tblPrEx>
          <w:tblCellMar>
            <w:top w:w="0" w:type="dxa"/>
            <w:left w:w="108" w:type="dxa"/>
            <w:bottom w:w="0" w:type="dxa"/>
            <w:right w:w="108" w:type="dxa"/>
          </w:tblCellMar>
        </w:tblPrEx>
        <w:trPr>
          <w:trHeight w:val="611"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648E912D">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10</w:t>
            </w:r>
          </w:p>
        </w:tc>
        <w:tc>
          <w:tcPr>
            <w:tcW w:w="1536" w:type="dxa"/>
            <w:tcBorders>
              <w:top w:val="single" w:color="auto" w:sz="4" w:space="0"/>
              <w:left w:val="nil"/>
              <w:bottom w:val="single" w:color="auto" w:sz="4" w:space="0"/>
              <w:right w:val="single" w:color="auto" w:sz="4" w:space="0"/>
            </w:tcBorders>
            <w:noWrap w:val="0"/>
            <w:vAlign w:val="center"/>
          </w:tcPr>
          <w:p w14:paraId="2A97F81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寻源云</w:t>
            </w:r>
          </w:p>
        </w:tc>
        <w:tc>
          <w:tcPr>
            <w:tcW w:w="2313" w:type="dxa"/>
            <w:tcBorders>
              <w:top w:val="single" w:color="auto" w:sz="4" w:space="0"/>
              <w:left w:val="nil"/>
              <w:bottom w:val="single" w:color="auto" w:sz="4" w:space="0"/>
              <w:right w:val="single" w:color="auto" w:sz="4" w:space="0"/>
            </w:tcBorders>
            <w:noWrap w:val="0"/>
            <w:vAlign w:val="center"/>
          </w:tcPr>
          <w:p w14:paraId="12760872">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采购招投标</w:t>
            </w:r>
          </w:p>
        </w:tc>
        <w:tc>
          <w:tcPr>
            <w:tcW w:w="4379" w:type="dxa"/>
            <w:tcBorders>
              <w:top w:val="single" w:color="auto" w:sz="4" w:space="0"/>
              <w:left w:val="nil"/>
              <w:bottom w:val="single" w:color="auto" w:sz="4" w:space="0"/>
              <w:right w:val="single" w:color="auto" w:sz="4" w:space="0"/>
            </w:tcBorders>
            <w:noWrap w:val="0"/>
            <w:vAlign w:val="center"/>
          </w:tcPr>
          <w:p w14:paraId="1EACDF7B">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集供应商管理协同、智造库存协同、物流配送、供方品质协同、财务协同、研发协同于一体的云平台，帮助企业建立与自身匹配的采购寻源流程，更快地寻找到合适的供应商，</w:t>
            </w:r>
          </w:p>
        </w:tc>
        <w:tc>
          <w:tcPr>
            <w:tcW w:w="1548" w:type="dxa"/>
            <w:tcBorders>
              <w:top w:val="single" w:color="auto" w:sz="4" w:space="0"/>
              <w:left w:val="nil"/>
              <w:bottom w:val="single" w:color="auto" w:sz="4" w:space="0"/>
              <w:right w:val="single" w:color="auto" w:sz="4" w:space="0"/>
            </w:tcBorders>
            <w:noWrap w:val="0"/>
            <w:vAlign w:val="center"/>
          </w:tcPr>
          <w:p w14:paraId="11C3817B">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免费</w:t>
            </w:r>
          </w:p>
        </w:tc>
        <w:tc>
          <w:tcPr>
            <w:tcW w:w="2129" w:type="dxa"/>
            <w:tcBorders>
              <w:top w:val="single" w:color="auto" w:sz="4" w:space="0"/>
              <w:left w:val="nil"/>
              <w:bottom w:val="single" w:color="auto" w:sz="4" w:space="0"/>
              <w:right w:val="single" w:color="auto" w:sz="4" w:space="0"/>
            </w:tcBorders>
            <w:noWrap w:val="0"/>
            <w:vAlign w:val="center"/>
          </w:tcPr>
          <w:p w14:paraId="5BB4D58A">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2DDBBDB3">
            <w:pPr>
              <w:widowControl/>
              <w:jc w:val="center"/>
              <w:rPr>
                <w:rFonts w:hint="eastAsia" w:ascii="仿宋_GB2312" w:hAnsi="等线" w:eastAsia="仿宋_GB2312" w:cs="宋体"/>
                <w:color w:val="000000"/>
                <w:kern w:val="0"/>
                <w:sz w:val="24"/>
                <w:szCs w:val="24"/>
              </w:rPr>
            </w:pPr>
          </w:p>
        </w:tc>
      </w:tr>
      <w:tr w14:paraId="6AF24AAF">
        <w:tblPrEx>
          <w:tblCellMar>
            <w:top w:w="0" w:type="dxa"/>
            <w:left w:w="108" w:type="dxa"/>
            <w:bottom w:w="0" w:type="dxa"/>
            <w:right w:w="108" w:type="dxa"/>
          </w:tblCellMar>
        </w:tblPrEx>
        <w:trPr>
          <w:trHeight w:val="611"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6506706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11</w:t>
            </w:r>
          </w:p>
        </w:tc>
        <w:tc>
          <w:tcPr>
            <w:tcW w:w="1536" w:type="dxa"/>
            <w:tcBorders>
              <w:top w:val="single" w:color="auto" w:sz="4" w:space="0"/>
              <w:left w:val="nil"/>
              <w:bottom w:val="single" w:color="auto" w:sz="4" w:space="0"/>
              <w:right w:val="single" w:color="auto" w:sz="4" w:space="0"/>
            </w:tcBorders>
            <w:noWrap w:val="0"/>
            <w:vAlign w:val="center"/>
          </w:tcPr>
          <w:p w14:paraId="01B390E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进销存云</w:t>
            </w:r>
          </w:p>
        </w:tc>
        <w:tc>
          <w:tcPr>
            <w:tcW w:w="2313" w:type="dxa"/>
            <w:tcBorders>
              <w:top w:val="single" w:color="auto" w:sz="4" w:space="0"/>
              <w:left w:val="nil"/>
              <w:bottom w:val="single" w:color="auto" w:sz="4" w:space="0"/>
              <w:right w:val="single" w:color="auto" w:sz="4" w:space="0"/>
            </w:tcBorders>
            <w:noWrap w:val="0"/>
            <w:vAlign w:val="center"/>
          </w:tcPr>
          <w:p w14:paraId="3FD30BE0">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采购</w:t>
            </w:r>
          </w:p>
        </w:tc>
        <w:tc>
          <w:tcPr>
            <w:tcW w:w="4379" w:type="dxa"/>
            <w:tcBorders>
              <w:top w:val="single" w:color="auto" w:sz="4" w:space="0"/>
              <w:left w:val="nil"/>
              <w:bottom w:val="single" w:color="auto" w:sz="4" w:space="0"/>
              <w:right w:val="single" w:color="auto" w:sz="4" w:space="0"/>
            </w:tcBorders>
            <w:noWrap w:val="0"/>
            <w:vAlign w:val="bottom"/>
          </w:tcPr>
          <w:p w14:paraId="6D09D938">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通过集成上下游库存信息，减少重复核对和回复，提升双方沟通效率，避免供方库存呆滞。</w:t>
            </w:r>
          </w:p>
        </w:tc>
        <w:tc>
          <w:tcPr>
            <w:tcW w:w="1548" w:type="dxa"/>
            <w:tcBorders>
              <w:top w:val="single" w:color="auto" w:sz="4" w:space="0"/>
              <w:left w:val="nil"/>
              <w:bottom w:val="single" w:color="auto" w:sz="4" w:space="0"/>
              <w:right w:val="single" w:color="auto" w:sz="4" w:space="0"/>
            </w:tcBorders>
            <w:noWrap w:val="0"/>
            <w:vAlign w:val="center"/>
          </w:tcPr>
          <w:p w14:paraId="6A87038B">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SAAS化部署</w:t>
            </w:r>
          </w:p>
        </w:tc>
        <w:tc>
          <w:tcPr>
            <w:tcW w:w="2129" w:type="dxa"/>
            <w:tcBorders>
              <w:top w:val="single" w:color="auto" w:sz="4" w:space="0"/>
              <w:left w:val="nil"/>
              <w:bottom w:val="single" w:color="auto" w:sz="4" w:space="0"/>
              <w:right w:val="single" w:color="auto" w:sz="4" w:space="0"/>
            </w:tcBorders>
            <w:noWrap w:val="0"/>
            <w:vAlign w:val="center"/>
          </w:tcPr>
          <w:p w14:paraId="0B673367">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4DB27B22">
            <w:pPr>
              <w:widowControl/>
              <w:jc w:val="center"/>
              <w:rPr>
                <w:rFonts w:hint="eastAsia" w:ascii="仿宋_GB2312" w:hAnsi="等线" w:eastAsia="仿宋_GB2312" w:cs="宋体"/>
                <w:color w:val="000000"/>
                <w:kern w:val="0"/>
                <w:sz w:val="24"/>
                <w:szCs w:val="24"/>
              </w:rPr>
            </w:pPr>
          </w:p>
        </w:tc>
      </w:tr>
      <w:tr w14:paraId="7D4F0066">
        <w:tblPrEx>
          <w:tblCellMar>
            <w:top w:w="0" w:type="dxa"/>
            <w:left w:w="108" w:type="dxa"/>
            <w:bottom w:w="0" w:type="dxa"/>
            <w:right w:w="108" w:type="dxa"/>
          </w:tblCellMar>
        </w:tblPrEx>
        <w:trPr>
          <w:trHeight w:val="611"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301CA62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12</w:t>
            </w:r>
          </w:p>
        </w:tc>
        <w:tc>
          <w:tcPr>
            <w:tcW w:w="1536" w:type="dxa"/>
            <w:tcBorders>
              <w:top w:val="single" w:color="auto" w:sz="4" w:space="0"/>
              <w:left w:val="nil"/>
              <w:bottom w:val="single" w:color="auto" w:sz="4" w:space="0"/>
              <w:right w:val="single" w:color="auto" w:sz="4" w:space="0"/>
            </w:tcBorders>
            <w:noWrap w:val="0"/>
            <w:vAlign w:val="center"/>
          </w:tcPr>
          <w:p w14:paraId="5BCA96E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电子签/支付/电子发票/ 区块链</w:t>
            </w:r>
          </w:p>
        </w:tc>
        <w:tc>
          <w:tcPr>
            <w:tcW w:w="2313" w:type="dxa"/>
            <w:tcBorders>
              <w:top w:val="single" w:color="auto" w:sz="4" w:space="0"/>
              <w:left w:val="nil"/>
              <w:bottom w:val="single" w:color="auto" w:sz="4" w:space="0"/>
              <w:right w:val="single" w:color="auto" w:sz="4" w:space="0"/>
            </w:tcBorders>
            <w:noWrap w:val="0"/>
            <w:vAlign w:val="center"/>
          </w:tcPr>
          <w:p w14:paraId="4CBF8822">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财务</w:t>
            </w:r>
          </w:p>
        </w:tc>
        <w:tc>
          <w:tcPr>
            <w:tcW w:w="4379" w:type="dxa"/>
            <w:tcBorders>
              <w:top w:val="single" w:color="auto" w:sz="4" w:space="0"/>
              <w:left w:val="nil"/>
              <w:bottom w:val="single" w:color="auto" w:sz="4" w:space="0"/>
              <w:right w:val="single" w:color="auto" w:sz="4" w:space="0"/>
            </w:tcBorders>
            <w:noWrap w:val="0"/>
            <w:vAlign w:val="center"/>
          </w:tcPr>
          <w:p w14:paraId="17AA4DA7">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基于“多种接入方式、税控设备托管、直连局端开票、自动核验数据”等服务能力，为社会公众提供全票种的批量导入、自动开票、批量打印、作废红冲等发票服务</w:t>
            </w:r>
          </w:p>
        </w:tc>
        <w:tc>
          <w:tcPr>
            <w:tcW w:w="1548" w:type="dxa"/>
            <w:tcBorders>
              <w:top w:val="single" w:color="auto" w:sz="4" w:space="0"/>
              <w:left w:val="nil"/>
              <w:bottom w:val="single" w:color="auto" w:sz="4" w:space="0"/>
              <w:right w:val="single" w:color="auto" w:sz="4" w:space="0"/>
            </w:tcBorders>
            <w:noWrap w:val="0"/>
            <w:vAlign w:val="center"/>
          </w:tcPr>
          <w:p w14:paraId="22F4595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按使用数量给予阶梯定价</w:t>
            </w:r>
          </w:p>
        </w:tc>
        <w:tc>
          <w:tcPr>
            <w:tcW w:w="2129" w:type="dxa"/>
            <w:tcBorders>
              <w:top w:val="single" w:color="auto" w:sz="4" w:space="0"/>
              <w:left w:val="nil"/>
              <w:bottom w:val="single" w:color="auto" w:sz="4" w:space="0"/>
              <w:right w:val="single" w:color="auto" w:sz="4" w:space="0"/>
            </w:tcBorders>
            <w:noWrap w:val="0"/>
            <w:vAlign w:val="center"/>
          </w:tcPr>
          <w:p w14:paraId="1DBCF7E4">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7DA00462">
            <w:pPr>
              <w:widowControl/>
              <w:jc w:val="center"/>
              <w:rPr>
                <w:rFonts w:hint="eastAsia" w:ascii="仿宋_GB2312" w:hAnsi="等线" w:eastAsia="仿宋_GB2312" w:cs="宋体"/>
                <w:color w:val="000000"/>
                <w:kern w:val="0"/>
                <w:sz w:val="24"/>
                <w:szCs w:val="24"/>
              </w:rPr>
            </w:pPr>
          </w:p>
        </w:tc>
      </w:tr>
      <w:tr w14:paraId="7B2191B0">
        <w:tblPrEx>
          <w:tblCellMar>
            <w:top w:w="0" w:type="dxa"/>
            <w:left w:w="108" w:type="dxa"/>
            <w:bottom w:w="0" w:type="dxa"/>
            <w:right w:w="108" w:type="dxa"/>
          </w:tblCellMar>
        </w:tblPrEx>
        <w:trPr>
          <w:trHeight w:val="611"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2F17C82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13</w:t>
            </w:r>
          </w:p>
        </w:tc>
        <w:tc>
          <w:tcPr>
            <w:tcW w:w="1536" w:type="dxa"/>
            <w:tcBorders>
              <w:top w:val="single" w:color="auto" w:sz="4" w:space="0"/>
              <w:left w:val="nil"/>
              <w:bottom w:val="single" w:color="auto" w:sz="4" w:space="0"/>
              <w:right w:val="single" w:color="auto" w:sz="4" w:space="0"/>
            </w:tcBorders>
            <w:noWrap w:val="0"/>
            <w:vAlign w:val="center"/>
          </w:tcPr>
          <w:p w14:paraId="5F37EBFD">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美擎基础平台</w:t>
            </w:r>
          </w:p>
        </w:tc>
        <w:tc>
          <w:tcPr>
            <w:tcW w:w="2313" w:type="dxa"/>
            <w:tcBorders>
              <w:top w:val="single" w:color="auto" w:sz="4" w:space="0"/>
              <w:left w:val="nil"/>
              <w:bottom w:val="single" w:color="auto" w:sz="4" w:space="0"/>
              <w:right w:val="single" w:color="auto" w:sz="4" w:space="0"/>
            </w:tcBorders>
            <w:noWrap w:val="0"/>
            <w:vAlign w:val="center"/>
          </w:tcPr>
          <w:p w14:paraId="1EA5FCF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工业互联网</w:t>
            </w:r>
          </w:p>
        </w:tc>
        <w:tc>
          <w:tcPr>
            <w:tcW w:w="4379" w:type="dxa"/>
            <w:tcBorders>
              <w:top w:val="single" w:color="auto" w:sz="4" w:space="0"/>
              <w:left w:val="nil"/>
              <w:bottom w:val="single" w:color="auto" w:sz="4" w:space="0"/>
              <w:right w:val="single" w:color="auto" w:sz="4" w:space="0"/>
            </w:tcBorders>
            <w:noWrap w:val="0"/>
            <w:vAlign w:val="center"/>
          </w:tcPr>
          <w:p w14:paraId="52715962">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通过中台化建设，让后台服务更 简单、更稳定，让前台服务更灵活，让中间层服务建设统一化，避免重复的投资建设和技术资产的积累。</w:t>
            </w:r>
          </w:p>
        </w:tc>
        <w:tc>
          <w:tcPr>
            <w:tcW w:w="1548" w:type="dxa"/>
            <w:tcBorders>
              <w:top w:val="single" w:color="auto" w:sz="4" w:space="0"/>
              <w:left w:val="nil"/>
              <w:bottom w:val="single" w:color="auto" w:sz="4" w:space="0"/>
              <w:right w:val="single" w:color="auto" w:sz="4" w:space="0"/>
            </w:tcBorders>
            <w:noWrap w:val="0"/>
            <w:vAlign w:val="center"/>
          </w:tcPr>
          <w:p w14:paraId="0DF7232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240</w:t>
            </w:r>
            <w:r>
              <w:rPr>
                <w:rFonts w:hint="eastAsia" w:ascii="仿宋_GB2312" w:hAnsi="等线" w:eastAsia="仿宋_GB2312" w:cs="宋体"/>
                <w:color w:val="333333"/>
                <w:kern w:val="0"/>
                <w:sz w:val="24"/>
                <w:szCs w:val="24"/>
              </w:rPr>
              <w:t>万元</w:t>
            </w:r>
          </w:p>
        </w:tc>
        <w:tc>
          <w:tcPr>
            <w:tcW w:w="2129" w:type="dxa"/>
            <w:tcBorders>
              <w:top w:val="single" w:color="auto" w:sz="4" w:space="0"/>
              <w:left w:val="nil"/>
              <w:bottom w:val="single" w:color="auto" w:sz="4" w:space="0"/>
              <w:right w:val="single" w:color="auto" w:sz="4" w:space="0"/>
            </w:tcBorders>
            <w:noWrap w:val="0"/>
            <w:vAlign w:val="center"/>
          </w:tcPr>
          <w:p w14:paraId="4F957F95">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08381EEC">
            <w:pPr>
              <w:widowControl/>
              <w:jc w:val="center"/>
              <w:rPr>
                <w:rFonts w:hint="eastAsia" w:ascii="仿宋_GB2312" w:hAnsi="等线" w:eastAsia="仿宋_GB2312" w:cs="宋体"/>
                <w:color w:val="000000"/>
                <w:kern w:val="0"/>
                <w:sz w:val="24"/>
                <w:szCs w:val="24"/>
              </w:rPr>
            </w:pPr>
          </w:p>
        </w:tc>
      </w:tr>
      <w:tr w14:paraId="5D571DE2">
        <w:tblPrEx>
          <w:tblCellMar>
            <w:top w:w="0" w:type="dxa"/>
            <w:left w:w="108" w:type="dxa"/>
            <w:bottom w:w="0" w:type="dxa"/>
            <w:right w:w="108" w:type="dxa"/>
          </w:tblCellMar>
        </w:tblPrEx>
        <w:trPr>
          <w:trHeight w:val="611"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7F2C4B15">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14</w:t>
            </w:r>
          </w:p>
        </w:tc>
        <w:tc>
          <w:tcPr>
            <w:tcW w:w="1536" w:type="dxa"/>
            <w:tcBorders>
              <w:top w:val="single" w:color="auto" w:sz="4" w:space="0"/>
              <w:left w:val="nil"/>
              <w:bottom w:val="single" w:color="auto" w:sz="4" w:space="0"/>
              <w:right w:val="single" w:color="auto" w:sz="4" w:space="0"/>
            </w:tcBorders>
            <w:noWrap w:val="0"/>
            <w:vAlign w:val="center"/>
          </w:tcPr>
          <w:p w14:paraId="2420160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水晶球</w:t>
            </w:r>
          </w:p>
        </w:tc>
        <w:tc>
          <w:tcPr>
            <w:tcW w:w="2313" w:type="dxa"/>
            <w:tcBorders>
              <w:top w:val="single" w:color="auto" w:sz="4" w:space="0"/>
              <w:left w:val="nil"/>
              <w:bottom w:val="single" w:color="auto" w:sz="4" w:space="0"/>
              <w:right w:val="single" w:color="auto" w:sz="4" w:space="0"/>
            </w:tcBorders>
            <w:noWrap w:val="0"/>
            <w:vAlign w:val="center"/>
          </w:tcPr>
          <w:p w14:paraId="0E22AECA">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大数据</w:t>
            </w:r>
          </w:p>
        </w:tc>
        <w:tc>
          <w:tcPr>
            <w:tcW w:w="4379" w:type="dxa"/>
            <w:tcBorders>
              <w:top w:val="single" w:color="auto" w:sz="4" w:space="0"/>
              <w:left w:val="nil"/>
              <w:bottom w:val="single" w:color="auto" w:sz="4" w:space="0"/>
              <w:right w:val="single" w:color="auto" w:sz="4" w:space="0"/>
            </w:tcBorders>
            <w:noWrap w:val="0"/>
            <w:vAlign w:val="center"/>
          </w:tcPr>
          <w:p w14:paraId="1785939D">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面向企业运维人员，打造统一平台，统一门户、统一权限大数据管理运营体系，通过自动化、智能化的运营能力，提高运维人员的工作效率。</w:t>
            </w:r>
          </w:p>
        </w:tc>
        <w:tc>
          <w:tcPr>
            <w:tcW w:w="1548" w:type="dxa"/>
            <w:tcBorders>
              <w:top w:val="single" w:color="auto" w:sz="4" w:space="0"/>
              <w:left w:val="nil"/>
              <w:bottom w:val="single" w:color="auto" w:sz="4" w:space="0"/>
              <w:right w:val="single" w:color="auto" w:sz="4" w:space="0"/>
            </w:tcBorders>
            <w:noWrap w:val="0"/>
            <w:vAlign w:val="center"/>
          </w:tcPr>
          <w:p w14:paraId="1CF5AD60">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180</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-350</w:t>
            </w:r>
            <w:r>
              <w:rPr>
                <w:rFonts w:hint="eastAsia" w:ascii="仿宋_GB2312" w:hAnsi="等线" w:eastAsia="仿宋_GB2312" w:cs="宋体"/>
                <w:color w:val="333333"/>
                <w:kern w:val="0"/>
                <w:sz w:val="24"/>
                <w:szCs w:val="24"/>
              </w:rPr>
              <w:t>万元</w:t>
            </w:r>
          </w:p>
        </w:tc>
        <w:tc>
          <w:tcPr>
            <w:tcW w:w="2129" w:type="dxa"/>
            <w:tcBorders>
              <w:top w:val="single" w:color="auto" w:sz="4" w:space="0"/>
              <w:left w:val="nil"/>
              <w:bottom w:val="single" w:color="auto" w:sz="4" w:space="0"/>
              <w:right w:val="single" w:color="auto" w:sz="4" w:space="0"/>
            </w:tcBorders>
            <w:noWrap w:val="0"/>
            <w:vAlign w:val="center"/>
          </w:tcPr>
          <w:p w14:paraId="30229F78">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21B8823C">
            <w:pPr>
              <w:widowControl/>
              <w:jc w:val="center"/>
              <w:rPr>
                <w:rFonts w:hint="eastAsia" w:ascii="仿宋_GB2312" w:hAnsi="等线" w:eastAsia="仿宋_GB2312" w:cs="宋体"/>
                <w:color w:val="000000"/>
                <w:kern w:val="0"/>
                <w:sz w:val="24"/>
                <w:szCs w:val="24"/>
              </w:rPr>
            </w:pPr>
          </w:p>
        </w:tc>
      </w:tr>
      <w:tr w14:paraId="7DFC57E9">
        <w:tblPrEx>
          <w:tblCellMar>
            <w:top w:w="0" w:type="dxa"/>
            <w:left w:w="108" w:type="dxa"/>
            <w:bottom w:w="0" w:type="dxa"/>
            <w:right w:w="108" w:type="dxa"/>
          </w:tblCellMar>
        </w:tblPrEx>
        <w:trPr>
          <w:trHeight w:val="611"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595E02FA">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15</w:t>
            </w:r>
          </w:p>
        </w:tc>
        <w:tc>
          <w:tcPr>
            <w:tcW w:w="1536" w:type="dxa"/>
            <w:tcBorders>
              <w:top w:val="single" w:color="auto" w:sz="4" w:space="0"/>
              <w:left w:val="nil"/>
              <w:bottom w:val="single" w:color="auto" w:sz="4" w:space="0"/>
              <w:right w:val="single" w:color="auto" w:sz="4" w:space="0"/>
            </w:tcBorders>
            <w:noWrap w:val="0"/>
            <w:vAlign w:val="center"/>
          </w:tcPr>
          <w:p w14:paraId="47F6FA0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数据可视化</w:t>
            </w:r>
          </w:p>
        </w:tc>
        <w:tc>
          <w:tcPr>
            <w:tcW w:w="2313" w:type="dxa"/>
            <w:tcBorders>
              <w:top w:val="single" w:color="auto" w:sz="4" w:space="0"/>
              <w:left w:val="nil"/>
              <w:bottom w:val="single" w:color="auto" w:sz="4" w:space="0"/>
              <w:right w:val="single" w:color="auto" w:sz="4" w:space="0"/>
            </w:tcBorders>
            <w:noWrap w:val="0"/>
            <w:vAlign w:val="center"/>
          </w:tcPr>
          <w:p w14:paraId="52CC29D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大数据</w:t>
            </w:r>
          </w:p>
        </w:tc>
        <w:tc>
          <w:tcPr>
            <w:tcW w:w="4379" w:type="dxa"/>
            <w:tcBorders>
              <w:top w:val="single" w:color="auto" w:sz="4" w:space="0"/>
              <w:left w:val="nil"/>
              <w:bottom w:val="single" w:color="auto" w:sz="4" w:space="0"/>
              <w:right w:val="single" w:color="auto" w:sz="4" w:space="0"/>
            </w:tcBorders>
            <w:noWrap w:val="0"/>
            <w:vAlign w:val="center"/>
          </w:tcPr>
          <w:p w14:paraId="08DF2F06">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实现数据在线可视化</w:t>
            </w:r>
          </w:p>
        </w:tc>
        <w:tc>
          <w:tcPr>
            <w:tcW w:w="1548" w:type="dxa"/>
            <w:tcBorders>
              <w:top w:val="single" w:color="auto" w:sz="4" w:space="0"/>
              <w:left w:val="nil"/>
              <w:bottom w:val="single" w:color="auto" w:sz="4" w:space="0"/>
              <w:right w:val="single" w:color="auto" w:sz="4" w:space="0"/>
            </w:tcBorders>
            <w:noWrap w:val="0"/>
            <w:vAlign w:val="center"/>
          </w:tcPr>
          <w:p w14:paraId="5F544535">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50</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-100</w:t>
            </w:r>
            <w:r>
              <w:rPr>
                <w:rFonts w:hint="eastAsia" w:ascii="仿宋_GB2312" w:hAnsi="等线" w:eastAsia="仿宋_GB2312" w:cs="宋体"/>
                <w:color w:val="333333"/>
                <w:kern w:val="0"/>
                <w:sz w:val="24"/>
                <w:szCs w:val="24"/>
              </w:rPr>
              <w:t>万元</w:t>
            </w:r>
          </w:p>
        </w:tc>
        <w:tc>
          <w:tcPr>
            <w:tcW w:w="2129" w:type="dxa"/>
            <w:tcBorders>
              <w:top w:val="single" w:color="auto" w:sz="4" w:space="0"/>
              <w:left w:val="nil"/>
              <w:bottom w:val="single" w:color="auto" w:sz="4" w:space="0"/>
              <w:right w:val="single" w:color="auto" w:sz="4" w:space="0"/>
            </w:tcBorders>
            <w:noWrap w:val="0"/>
            <w:vAlign w:val="center"/>
          </w:tcPr>
          <w:p w14:paraId="6DE05E21">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39A1147B">
            <w:pPr>
              <w:widowControl/>
              <w:jc w:val="center"/>
              <w:rPr>
                <w:rFonts w:hint="eastAsia" w:ascii="仿宋_GB2312" w:hAnsi="等线" w:eastAsia="仿宋_GB2312" w:cs="宋体"/>
                <w:color w:val="000000"/>
                <w:kern w:val="0"/>
                <w:sz w:val="24"/>
                <w:szCs w:val="24"/>
              </w:rPr>
            </w:pPr>
          </w:p>
        </w:tc>
      </w:tr>
      <w:tr w14:paraId="03B9AAAB">
        <w:tblPrEx>
          <w:tblCellMar>
            <w:top w:w="0" w:type="dxa"/>
            <w:left w:w="108" w:type="dxa"/>
            <w:bottom w:w="0" w:type="dxa"/>
            <w:right w:w="108" w:type="dxa"/>
          </w:tblCellMar>
        </w:tblPrEx>
        <w:trPr>
          <w:trHeight w:val="209"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263F5BE5">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16</w:t>
            </w:r>
          </w:p>
        </w:tc>
        <w:tc>
          <w:tcPr>
            <w:tcW w:w="1536" w:type="dxa"/>
            <w:tcBorders>
              <w:top w:val="single" w:color="auto" w:sz="4" w:space="0"/>
              <w:left w:val="nil"/>
              <w:bottom w:val="single" w:color="auto" w:sz="4" w:space="0"/>
              <w:right w:val="single" w:color="auto" w:sz="4" w:space="0"/>
            </w:tcBorders>
            <w:noWrap w:val="0"/>
            <w:vAlign w:val="center"/>
          </w:tcPr>
          <w:p w14:paraId="6F6A0F7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身份云</w:t>
            </w:r>
          </w:p>
        </w:tc>
        <w:tc>
          <w:tcPr>
            <w:tcW w:w="2313" w:type="dxa"/>
            <w:tcBorders>
              <w:top w:val="single" w:color="auto" w:sz="4" w:space="0"/>
              <w:left w:val="nil"/>
              <w:bottom w:val="single" w:color="auto" w:sz="4" w:space="0"/>
              <w:right w:val="single" w:color="auto" w:sz="4" w:space="0"/>
            </w:tcBorders>
            <w:noWrap w:val="0"/>
            <w:vAlign w:val="center"/>
          </w:tcPr>
          <w:p w14:paraId="74911130">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登录认证，权限管理</w:t>
            </w:r>
          </w:p>
        </w:tc>
        <w:tc>
          <w:tcPr>
            <w:tcW w:w="4379" w:type="dxa"/>
            <w:tcBorders>
              <w:top w:val="single" w:color="auto" w:sz="4" w:space="0"/>
              <w:left w:val="nil"/>
              <w:bottom w:val="single" w:color="auto" w:sz="4" w:space="0"/>
              <w:right w:val="single" w:color="auto" w:sz="4" w:space="0"/>
            </w:tcBorders>
            <w:noWrap w:val="0"/>
            <w:vAlign w:val="center"/>
          </w:tcPr>
          <w:p w14:paraId="36B60FE5">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从“权限智能体检、权限中台服务、用户权限自助服务、权限流程服务、权限审计服务”等业务维度，让企业权限管理落地更容易。</w:t>
            </w:r>
          </w:p>
        </w:tc>
        <w:tc>
          <w:tcPr>
            <w:tcW w:w="1548" w:type="dxa"/>
            <w:tcBorders>
              <w:top w:val="single" w:color="auto" w:sz="4" w:space="0"/>
              <w:left w:val="nil"/>
              <w:bottom w:val="single" w:color="auto" w:sz="4" w:space="0"/>
              <w:right w:val="single" w:color="auto" w:sz="4" w:space="0"/>
            </w:tcBorders>
            <w:noWrap w:val="0"/>
            <w:vAlign w:val="center"/>
          </w:tcPr>
          <w:p w14:paraId="1DBB77A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44</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-66</w:t>
            </w:r>
            <w:r>
              <w:rPr>
                <w:rFonts w:hint="eastAsia" w:ascii="仿宋_GB2312" w:hAnsi="等线" w:eastAsia="仿宋_GB2312" w:cs="宋体"/>
                <w:color w:val="333333"/>
                <w:kern w:val="0"/>
                <w:sz w:val="24"/>
                <w:szCs w:val="24"/>
              </w:rPr>
              <w:t>万元</w:t>
            </w:r>
          </w:p>
        </w:tc>
        <w:tc>
          <w:tcPr>
            <w:tcW w:w="2129" w:type="dxa"/>
            <w:tcBorders>
              <w:top w:val="single" w:color="auto" w:sz="4" w:space="0"/>
              <w:left w:val="nil"/>
              <w:bottom w:val="single" w:color="auto" w:sz="4" w:space="0"/>
              <w:right w:val="single" w:color="auto" w:sz="4" w:space="0"/>
            </w:tcBorders>
            <w:noWrap w:val="0"/>
            <w:vAlign w:val="center"/>
          </w:tcPr>
          <w:p w14:paraId="5A7E49D1">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58D97571">
            <w:pPr>
              <w:widowControl/>
              <w:jc w:val="center"/>
              <w:rPr>
                <w:rFonts w:hint="eastAsia" w:ascii="仿宋_GB2312" w:hAnsi="等线" w:eastAsia="仿宋_GB2312" w:cs="宋体"/>
                <w:color w:val="000000"/>
                <w:kern w:val="0"/>
                <w:sz w:val="24"/>
                <w:szCs w:val="24"/>
              </w:rPr>
            </w:pPr>
          </w:p>
        </w:tc>
      </w:tr>
      <w:tr w14:paraId="69F6209A">
        <w:tblPrEx>
          <w:tblCellMar>
            <w:top w:w="0" w:type="dxa"/>
            <w:left w:w="108" w:type="dxa"/>
            <w:bottom w:w="0" w:type="dxa"/>
            <w:right w:w="108" w:type="dxa"/>
          </w:tblCellMar>
        </w:tblPrEx>
        <w:trPr>
          <w:trHeight w:val="611"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3F0DA14D">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17</w:t>
            </w:r>
          </w:p>
        </w:tc>
        <w:tc>
          <w:tcPr>
            <w:tcW w:w="1536" w:type="dxa"/>
            <w:tcBorders>
              <w:top w:val="single" w:color="auto" w:sz="4" w:space="0"/>
              <w:left w:val="nil"/>
              <w:bottom w:val="single" w:color="auto" w:sz="4" w:space="0"/>
              <w:right w:val="single" w:color="auto" w:sz="4" w:space="0"/>
            </w:tcBorders>
            <w:noWrap w:val="0"/>
            <w:vAlign w:val="center"/>
          </w:tcPr>
          <w:p w14:paraId="3671CDA8">
            <w:pPr>
              <w:widowControl/>
              <w:jc w:val="center"/>
              <w:rPr>
                <w:rFonts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统一身份认证平台</w:t>
            </w:r>
          </w:p>
        </w:tc>
        <w:tc>
          <w:tcPr>
            <w:tcW w:w="2313" w:type="dxa"/>
            <w:tcBorders>
              <w:top w:val="single" w:color="auto" w:sz="4" w:space="0"/>
              <w:left w:val="nil"/>
              <w:bottom w:val="single" w:color="auto" w:sz="4" w:space="0"/>
              <w:right w:val="single" w:color="auto" w:sz="4" w:space="0"/>
            </w:tcBorders>
            <w:noWrap w:val="0"/>
            <w:vAlign w:val="center"/>
          </w:tcPr>
          <w:p w14:paraId="41EAB78F">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身份认证与访问管理</w:t>
            </w:r>
          </w:p>
        </w:tc>
        <w:tc>
          <w:tcPr>
            <w:tcW w:w="4379" w:type="dxa"/>
            <w:tcBorders>
              <w:top w:val="single" w:color="auto" w:sz="4" w:space="0"/>
              <w:left w:val="nil"/>
              <w:bottom w:val="single" w:color="auto" w:sz="4" w:space="0"/>
              <w:right w:val="single" w:color="auto" w:sz="4" w:space="0"/>
            </w:tcBorders>
            <w:noWrap w:val="0"/>
            <w:vAlign w:val="center"/>
          </w:tcPr>
          <w:p w14:paraId="00B78460">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实现企业IT系统的统一入口，账号，密码的统一。</w:t>
            </w:r>
          </w:p>
          <w:p w14:paraId="525E87AF">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建立统一的用户管理体系，统一权限管理中心，实现用户权限的自助化、自动化调整，建立多安全级别的多因素认证控制中心，实现用户访问应用的安全保障，建立多安全级别的多因素认证控制中心，实现用户访问应用的安全保障。</w:t>
            </w:r>
          </w:p>
        </w:tc>
        <w:tc>
          <w:tcPr>
            <w:tcW w:w="1548" w:type="dxa"/>
            <w:tcBorders>
              <w:top w:val="single" w:color="auto" w:sz="4" w:space="0"/>
              <w:left w:val="nil"/>
              <w:bottom w:val="single" w:color="auto" w:sz="4" w:space="0"/>
              <w:right w:val="single" w:color="auto" w:sz="4" w:space="0"/>
            </w:tcBorders>
            <w:noWrap w:val="0"/>
            <w:vAlign w:val="center"/>
          </w:tcPr>
          <w:p w14:paraId="030B49CE">
            <w:pPr>
              <w:widowControl/>
              <w:jc w:val="center"/>
              <w:rPr>
                <w:rFonts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50</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-200</w:t>
            </w:r>
            <w:r>
              <w:rPr>
                <w:rFonts w:hint="eastAsia" w:ascii="仿宋_GB2312" w:hAnsi="等线" w:eastAsia="仿宋_GB2312" w:cs="宋体"/>
                <w:color w:val="333333"/>
                <w:kern w:val="0"/>
                <w:sz w:val="24"/>
                <w:szCs w:val="24"/>
              </w:rPr>
              <w:t>万元</w:t>
            </w:r>
          </w:p>
        </w:tc>
        <w:tc>
          <w:tcPr>
            <w:tcW w:w="2129" w:type="dxa"/>
            <w:tcBorders>
              <w:top w:val="single" w:color="auto" w:sz="4" w:space="0"/>
              <w:left w:val="nil"/>
              <w:bottom w:val="single" w:color="auto" w:sz="4" w:space="0"/>
              <w:right w:val="single" w:color="auto" w:sz="4" w:space="0"/>
            </w:tcBorders>
            <w:noWrap w:val="0"/>
            <w:vAlign w:val="center"/>
          </w:tcPr>
          <w:p w14:paraId="6E249C69">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5284857B">
            <w:pPr>
              <w:widowControl/>
              <w:jc w:val="center"/>
              <w:rPr>
                <w:rFonts w:hint="eastAsia" w:ascii="仿宋_GB2312" w:hAnsi="等线" w:eastAsia="仿宋_GB2312" w:cs="宋体"/>
                <w:color w:val="000000"/>
                <w:kern w:val="0"/>
                <w:sz w:val="24"/>
                <w:szCs w:val="24"/>
              </w:rPr>
            </w:pPr>
          </w:p>
        </w:tc>
      </w:tr>
      <w:tr w14:paraId="3B9DEA00">
        <w:tblPrEx>
          <w:tblCellMar>
            <w:top w:w="0" w:type="dxa"/>
            <w:left w:w="108" w:type="dxa"/>
            <w:bottom w:w="0" w:type="dxa"/>
            <w:right w:w="108" w:type="dxa"/>
          </w:tblCellMar>
        </w:tblPrEx>
        <w:trPr>
          <w:trHeight w:val="611"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6ACF2A7B">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18</w:t>
            </w:r>
          </w:p>
        </w:tc>
        <w:tc>
          <w:tcPr>
            <w:tcW w:w="1536" w:type="dxa"/>
            <w:tcBorders>
              <w:top w:val="single" w:color="auto" w:sz="4" w:space="0"/>
              <w:left w:val="nil"/>
              <w:bottom w:val="single" w:color="auto" w:sz="4" w:space="0"/>
              <w:right w:val="single" w:color="auto" w:sz="4" w:space="0"/>
            </w:tcBorders>
            <w:noWrap w:val="0"/>
            <w:vAlign w:val="center"/>
          </w:tcPr>
          <w:p w14:paraId="0CAEDD4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智能网关</w:t>
            </w:r>
          </w:p>
        </w:tc>
        <w:tc>
          <w:tcPr>
            <w:tcW w:w="2313" w:type="dxa"/>
            <w:tcBorders>
              <w:top w:val="single" w:color="auto" w:sz="4" w:space="0"/>
              <w:left w:val="nil"/>
              <w:bottom w:val="single" w:color="auto" w:sz="4" w:space="0"/>
              <w:right w:val="single" w:color="auto" w:sz="4" w:space="0"/>
            </w:tcBorders>
            <w:noWrap w:val="0"/>
            <w:vAlign w:val="center"/>
          </w:tcPr>
          <w:p w14:paraId="012D063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智能硬件</w:t>
            </w:r>
          </w:p>
        </w:tc>
        <w:tc>
          <w:tcPr>
            <w:tcW w:w="4379" w:type="dxa"/>
            <w:tcBorders>
              <w:top w:val="single" w:color="auto" w:sz="4" w:space="0"/>
              <w:left w:val="nil"/>
              <w:bottom w:val="single" w:color="auto" w:sz="4" w:space="0"/>
              <w:right w:val="single" w:color="auto" w:sz="4" w:space="0"/>
            </w:tcBorders>
            <w:noWrap w:val="0"/>
            <w:vAlign w:val="center"/>
          </w:tcPr>
          <w:p w14:paraId="1DE3B77B">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支持RS232、RS485转网口/wifi。支持Lora转网口/wifi。支持远程登陆管理。支持多种linux版本系统运行。支持接入多平台。</w:t>
            </w:r>
          </w:p>
        </w:tc>
        <w:tc>
          <w:tcPr>
            <w:tcW w:w="1548" w:type="dxa"/>
            <w:tcBorders>
              <w:top w:val="single" w:color="auto" w:sz="4" w:space="0"/>
              <w:left w:val="nil"/>
              <w:bottom w:val="single" w:color="auto" w:sz="4" w:space="0"/>
              <w:right w:val="single" w:color="auto" w:sz="4" w:space="0"/>
            </w:tcBorders>
            <w:noWrap w:val="0"/>
            <w:vAlign w:val="center"/>
          </w:tcPr>
          <w:p w14:paraId="2CDE8C4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0.24</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-0.36</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/个</w:t>
            </w:r>
          </w:p>
        </w:tc>
        <w:tc>
          <w:tcPr>
            <w:tcW w:w="2129" w:type="dxa"/>
            <w:tcBorders>
              <w:top w:val="single" w:color="auto" w:sz="4" w:space="0"/>
              <w:left w:val="nil"/>
              <w:bottom w:val="single" w:color="auto" w:sz="4" w:space="0"/>
              <w:right w:val="single" w:color="auto" w:sz="4" w:space="0"/>
            </w:tcBorders>
            <w:noWrap w:val="0"/>
            <w:vAlign w:val="center"/>
          </w:tcPr>
          <w:p w14:paraId="6031A531">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0D320160">
            <w:pPr>
              <w:widowControl/>
              <w:jc w:val="center"/>
              <w:rPr>
                <w:rFonts w:hint="eastAsia" w:ascii="仿宋_GB2312" w:hAnsi="等线" w:eastAsia="仿宋_GB2312" w:cs="宋体"/>
                <w:color w:val="000000"/>
                <w:kern w:val="0"/>
                <w:sz w:val="24"/>
                <w:szCs w:val="24"/>
              </w:rPr>
            </w:pPr>
          </w:p>
        </w:tc>
      </w:tr>
      <w:tr w14:paraId="564E6CB7">
        <w:tblPrEx>
          <w:tblCellMar>
            <w:top w:w="0" w:type="dxa"/>
            <w:left w:w="108" w:type="dxa"/>
            <w:bottom w:w="0" w:type="dxa"/>
            <w:right w:w="108" w:type="dxa"/>
          </w:tblCellMar>
        </w:tblPrEx>
        <w:trPr>
          <w:trHeight w:val="611"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2550056D">
            <w:pPr>
              <w:widowControl/>
              <w:jc w:val="center"/>
              <w:rPr>
                <w:rFonts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19</w:t>
            </w:r>
          </w:p>
        </w:tc>
        <w:tc>
          <w:tcPr>
            <w:tcW w:w="1536" w:type="dxa"/>
            <w:tcBorders>
              <w:top w:val="single" w:color="auto" w:sz="4" w:space="0"/>
              <w:left w:val="nil"/>
              <w:bottom w:val="single" w:color="auto" w:sz="4" w:space="0"/>
              <w:right w:val="single" w:color="auto" w:sz="4" w:space="0"/>
            </w:tcBorders>
            <w:noWrap w:val="0"/>
            <w:vAlign w:val="center"/>
          </w:tcPr>
          <w:p w14:paraId="160F1578">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lora模块</w:t>
            </w:r>
          </w:p>
        </w:tc>
        <w:tc>
          <w:tcPr>
            <w:tcW w:w="2313" w:type="dxa"/>
            <w:tcBorders>
              <w:top w:val="single" w:color="auto" w:sz="4" w:space="0"/>
              <w:left w:val="nil"/>
              <w:bottom w:val="single" w:color="auto" w:sz="4" w:space="0"/>
              <w:right w:val="single" w:color="auto" w:sz="4" w:space="0"/>
            </w:tcBorders>
            <w:noWrap w:val="0"/>
            <w:vAlign w:val="center"/>
          </w:tcPr>
          <w:p w14:paraId="136B178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智能硬件</w:t>
            </w:r>
          </w:p>
        </w:tc>
        <w:tc>
          <w:tcPr>
            <w:tcW w:w="4379" w:type="dxa"/>
            <w:tcBorders>
              <w:top w:val="single" w:color="auto" w:sz="4" w:space="0"/>
              <w:left w:val="nil"/>
              <w:bottom w:val="single" w:color="auto" w:sz="4" w:space="0"/>
              <w:right w:val="single" w:color="auto" w:sz="4" w:space="0"/>
            </w:tcBorders>
            <w:noWrap w:val="0"/>
            <w:vAlign w:val="center"/>
          </w:tcPr>
          <w:p w14:paraId="6F2B8D0F">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支持DI输入采集，例如设备开关信号。支持远距离通讯，多节点布署。支持数据透传，传递真实的数据内容。支持数据带地址和加密传送，保证数据的追溯性和安全性。</w:t>
            </w:r>
          </w:p>
        </w:tc>
        <w:tc>
          <w:tcPr>
            <w:tcW w:w="1548" w:type="dxa"/>
            <w:tcBorders>
              <w:top w:val="single" w:color="auto" w:sz="4" w:space="0"/>
              <w:left w:val="nil"/>
              <w:bottom w:val="single" w:color="auto" w:sz="4" w:space="0"/>
              <w:right w:val="single" w:color="auto" w:sz="4" w:space="0"/>
            </w:tcBorders>
            <w:noWrap w:val="0"/>
            <w:vAlign w:val="center"/>
          </w:tcPr>
          <w:p w14:paraId="3A8522C0">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0.028</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-0.042</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/个</w:t>
            </w:r>
          </w:p>
        </w:tc>
        <w:tc>
          <w:tcPr>
            <w:tcW w:w="2129" w:type="dxa"/>
            <w:tcBorders>
              <w:top w:val="single" w:color="auto" w:sz="4" w:space="0"/>
              <w:left w:val="nil"/>
              <w:bottom w:val="single" w:color="auto" w:sz="4" w:space="0"/>
              <w:right w:val="single" w:color="auto" w:sz="4" w:space="0"/>
            </w:tcBorders>
            <w:noWrap w:val="0"/>
            <w:vAlign w:val="center"/>
          </w:tcPr>
          <w:p w14:paraId="4B06FBF5">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20F2A541">
            <w:pPr>
              <w:widowControl/>
              <w:jc w:val="center"/>
              <w:rPr>
                <w:rFonts w:hint="eastAsia" w:ascii="仿宋_GB2312" w:hAnsi="等线" w:eastAsia="仿宋_GB2312" w:cs="宋体"/>
                <w:color w:val="000000"/>
                <w:kern w:val="0"/>
                <w:sz w:val="24"/>
                <w:szCs w:val="24"/>
              </w:rPr>
            </w:pPr>
          </w:p>
        </w:tc>
      </w:tr>
      <w:tr w14:paraId="38F4E61A">
        <w:tblPrEx>
          <w:tblCellMar>
            <w:top w:w="0" w:type="dxa"/>
            <w:left w:w="108" w:type="dxa"/>
            <w:bottom w:w="0" w:type="dxa"/>
            <w:right w:w="108" w:type="dxa"/>
          </w:tblCellMar>
        </w:tblPrEx>
        <w:trPr>
          <w:trHeight w:val="611"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33653748">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20</w:t>
            </w:r>
          </w:p>
        </w:tc>
        <w:tc>
          <w:tcPr>
            <w:tcW w:w="1536" w:type="dxa"/>
            <w:tcBorders>
              <w:top w:val="single" w:color="auto" w:sz="4" w:space="0"/>
              <w:left w:val="nil"/>
              <w:bottom w:val="single" w:color="auto" w:sz="4" w:space="0"/>
              <w:right w:val="single" w:color="auto" w:sz="4" w:space="0"/>
            </w:tcBorders>
            <w:noWrap w:val="0"/>
            <w:vAlign w:val="center"/>
          </w:tcPr>
          <w:p w14:paraId="377873B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串口服务器</w:t>
            </w:r>
          </w:p>
        </w:tc>
        <w:tc>
          <w:tcPr>
            <w:tcW w:w="2313" w:type="dxa"/>
            <w:tcBorders>
              <w:top w:val="single" w:color="auto" w:sz="4" w:space="0"/>
              <w:left w:val="nil"/>
              <w:bottom w:val="single" w:color="auto" w:sz="4" w:space="0"/>
              <w:right w:val="single" w:color="auto" w:sz="4" w:space="0"/>
            </w:tcBorders>
            <w:noWrap w:val="0"/>
            <w:vAlign w:val="center"/>
          </w:tcPr>
          <w:p w14:paraId="5E4ABC1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软件</w:t>
            </w:r>
          </w:p>
        </w:tc>
        <w:tc>
          <w:tcPr>
            <w:tcW w:w="4379" w:type="dxa"/>
            <w:tcBorders>
              <w:top w:val="single" w:color="auto" w:sz="4" w:space="0"/>
              <w:left w:val="nil"/>
              <w:bottom w:val="single" w:color="auto" w:sz="4" w:space="0"/>
              <w:right w:val="single" w:color="auto" w:sz="4" w:space="0"/>
            </w:tcBorders>
            <w:noWrap w:val="0"/>
            <w:vAlign w:val="center"/>
          </w:tcPr>
          <w:p w14:paraId="5B005635">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支持数据透传。支持数据打包传输。支持DO输出控制。支持DI输入采集。支持远程配置和监控，同时支持8路客户端访问。</w:t>
            </w:r>
          </w:p>
        </w:tc>
        <w:tc>
          <w:tcPr>
            <w:tcW w:w="1548" w:type="dxa"/>
            <w:tcBorders>
              <w:top w:val="single" w:color="auto" w:sz="4" w:space="0"/>
              <w:left w:val="nil"/>
              <w:bottom w:val="single" w:color="auto" w:sz="4" w:space="0"/>
              <w:right w:val="single" w:color="auto" w:sz="4" w:space="0"/>
            </w:tcBorders>
            <w:noWrap w:val="0"/>
            <w:vAlign w:val="center"/>
          </w:tcPr>
          <w:p w14:paraId="4032155F">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0.12</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-0.18</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/个</w:t>
            </w:r>
          </w:p>
        </w:tc>
        <w:tc>
          <w:tcPr>
            <w:tcW w:w="2129" w:type="dxa"/>
            <w:tcBorders>
              <w:top w:val="single" w:color="auto" w:sz="4" w:space="0"/>
              <w:left w:val="nil"/>
              <w:bottom w:val="single" w:color="auto" w:sz="4" w:space="0"/>
              <w:right w:val="single" w:color="auto" w:sz="4" w:space="0"/>
            </w:tcBorders>
            <w:noWrap w:val="0"/>
            <w:vAlign w:val="center"/>
          </w:tcPr>
          <w:p w14:paraId="31F56D0A">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13027854">
            <w:pPr>
              <w:widowControl/>
              <w:jc w:val="center"/>
              <w:rPr>
                <w:rFonts w:hint="eastAsia" w:ascii="仿宋_GB2312" w:hAnsi="等线" w:eastAsia="仿宋_GB2312" w:cs="宋体"/>
                <w:color w:val="000000"/>
                <w:kern w:val="0"/>
                <w:sz w:val="24"/>
                <w:szCs w:val="24"/>
              </w:rPr>
            </w:pPr>
          </w:p>
        </w:tc>
      </w:tr>
      <w:tr w14:paraId="06F2FCE5">
        <w:tblPrEx>
          <w:tblCellMar>
            <w:top w:w="0" w:type="dxa"/>
            <w:left w:w="108" w:type="dxa"/>
            <w:bottom w:w="0" w:type="dxa"/>
            <w:right w:w="108" w:type="dxa"/>
          </w:tblCellMar>
        </w:tblPrEx>
        <w:trPr>
          <w:trHeight w:val="611"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1EB12759">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21</w:t>
            </w:r>
          </w:p>
        </w:tc>
        <w:tc>
          <w:tcPr>
            <w:tcW w:w="1536" w:type="dxa"/>
            <w:tcBorders>
              <w:top w:val="single" w:color="auto" w:sz="4" w:space="0"/>
              <w:left w:val="nil"/>
              <w:bottom w:val="single" w:color="auto" w:sz="4" w:space="0"/>
              <w:right w:val="single" w:color="auto" w:sz="4" w:space="0"/>
            </w:tcBorders>
            <w:noWrap w:val="0"/>
            <w:vAlign w:val="center"/>
          </w:tcPr>
          <w:p w14:paraId="6DEFF2D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美擎AIGC平台[简称： AIGC平台]V1.0</w:t>
            </w:r>
          </w:p>
        </w:tc>
        <w:tc>
          <w:tcPr>
            <w:tcW w:w="2313" w:type="dxa"/>
            <w:tcBorders>
              <w:top w:val="single" w:color="auto" w:sz="4" w:space="0"/>
              <w:left w:val="nil"/>
              <w:bottom w:val="single" w:color="auto" w:sz="4" w:space="0"/>
              <w:right w:val="single" w:color="auto" w:sz="4" w:space="0"/>
            </w:tcBorders>
            <w:noWrap w:val="0"/>
            <w:vAlign w:val="center"/>
          </w:tcPr>
          <w:p w14:paraId="1899A50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AI应用平台</w:t>
            </w:r>
          </w:p>
        </w:tc>
        <w:tc>
          <w:tcPr>
            <w:tcW w:w="4379" w:type="dxa"/>
            <w:tcBorders>
              <w:top w:val="single" w:color="auto" w:sz="4" w:space="0"/>
              <w:left w:val="nil"/>
              <w:bottom w:val="single" w:color="auto" w:sz="4" w:space="0"/>
              <w:right w:val="single" w:color="auto" w:sz="4" w:space="0"/>
            </w:tcBorders>
            <w:noWrap w:val="0"/>
            <w:vAlign w:val="center"/>
          </w:tcPr>
          <w:p w14:paraId="64FE171E">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管理AI算法和模型，实现模型统一管理与维护；</w:t>
            </w:r>
          </w:p>
          <w:p w14:paraId="4D0765FA">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为应用开发者提供统一的AI算法使用体验，屏蔽底层异质算力的影响；</w:t>
            </w:r>
          </w:p>
          <w:p w14:paraId="536015CB">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实现算力GPU池化管理，打造统一的算力管理能力；</w:t>
            </w:r>
          </w:p>
          <w:p w14:paraId="6FD9FBD7">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支持Agent，流程，聊天能力的编排，打造一体化的应用开发能力；</w:t>
            </w:r>
          </w:p>
        </w:tc>
        <w:tc>
          <w:tcPr>
            <w:tcW w:w="1548" w:type="dxa"/>
            <w:tcBorders>
              <w:top w:val="single" w:color="auto" w:sz="4" w:space="0"/>
              <w:left w:val="nil"/>
              <w:bottom w:val="single" w:color="auto" w:sz="4" w:space="0"/>
              <w:right w:val="single" w:color="auto" w:sz="4" w:space="0"/>
            </w:tcBorders>
            <w:noWrap w:val="0"/>
            <w:vAlign w:val="center"/>
          </w:tcPr>
          <w:p w14:paraId="6841084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200</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-350</w:t>
            </w:r>
            <w:r>
              <w:rPr>
                <w:rFonts w:hint="eastAsia" w:ascii="仿宋_GB2312" w:hAnsi="等线" w:eastAsia="仿宋_GB2312" w:cs="宋体"/>
                <w:color w:val="333333"/>
                <w:kern w:val="0"/>
                <w:sz w:val="24"/>
                <w:szCs w:val="24"/>
              </w:rPr>
              <w:t>万元</w:t>
            </w:r>
          </w:p>
        </w:tc>
        <w:tc>
          <w:tcPr>
            <w:tcW w:w="2129" w:type="dxa"/>
            <w:tcBorders>
              <w:top w:val="single" w:color="auto" w:sz="4" w:space="0"/>
              <w:left w:val="nil"/>
              <w:bottom w:val="single" w:color="auto" w:sz="4" w:space="0"/>
              <w:right w:val="single" w:color="auto" w:sz="4" w:space="0"/>
            </w:tcBorders>
            <w:noWrap w:val="0"/>
            <w:vAlign w:val="center"/>
          </w:tcPr>
          <w:p w14:paraId="21E2F3F2">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3485A98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新增</w:t>
            </w:r>
          </w:p>
        </w:tc>
      </w:tr>
      <w:tr w14:paraId="4F685E0E">
        <w:tblPrEx>
          <w:tblCellMar>
            <w:top w:w="0" w:type="dxa"/>
            <w:left w:w="108" w:type="dxa"/>
            <w:bottom w:w="0" w:type="dxa"/>
            <w:right w:w="108" w:type="dxa"/>
          </w:tblCellMar>
        </w:tblPrEx>
        <w:trPr>
          <w:trHeight w:val="611"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2AB8903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22</w:t>
            </w:r>
          </w:p>
        </w:tc>
        <w:tc>
          <w:tcPr>
            <w:tcW w:w="1536" w:type="dxa"/>
            <w:tcBorders>
              <w:top w:val="single" w:color="auto" w:sz="4" w:space="0"/>
              <w:left w:val="nil"/>
              <w:bottom w:val="single" w:color="auto" w:sz="4" w:space="0"/>
              <w:right w:val="single" w:color="auto" w:sz="4" w:space="0"/>
            </w:tcBorders>
            <w:noWrap w:val="0"/>
            <w:vAlign w:val="center"/>
          </w:tcPr>
          <w:p w14:paraId="401B5F5F">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美擎AIGC数字人平台[简称：数字人平台]V1.0</w:t>
            </w:r>
          </w:p>
        </w:tc>
        <w:tc>
          <w:tcPr>
            <w:tcW w:w="2313" w:type="dxa"/>
            <w:tcBorders>
              <w:top w:val="single" w:color="auto" w:sz="4" w:space="0"/>
              <w:left w:val="nil"/>
              <w:bottom w:val="single" w:color="auto" w:sz="4" w:space="0"/>
              <w:right w:val="single" w:color="auto" w:sz="4" w:space="0"/>
            </w:tcBorders>
            <w:noWrap w:val="0"/>
            <w:vAlign w:val="center"/>
          </w:tcPr>
          <w:p w14:paraId="7EC3C359">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AI应用</w:t>
            </w:r>
          </w:p>
        </w:tc>
        <w:tc>
          <w:tcPr>
            <w:tcW w:w="4379" w:type="dxa"/>
            <w:tcBorders>
              <w:top w:val="single" w:color="auto" w:sz="4" w:space="0"/>
              <w:left w:val="nil"/>
              <w:bottom w:val="single" w:color="auto" w:sz="4" w:space="0"/>
              <w:right w:val="single" w:color="auto" w:sz="4" w:space="0"/>
            </w:tcBorders>
            <w:noWrap w:val="0"/>
            <w:vAlign w:val="center"/>
          </w:tcPr>
          <w:p w14:paraId="48048458">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通过数字人实现对PPT文档的内容关键信息提取，形成数字人讲解的内容，并通过数字人做PPT讲解后录制成为视频，支持大模型，多语言翻译能力</w:t>
            </w:r>
          </w:p>
        </w:tc>
        <w:tc>
          <w:tcPr>
            <w:tcW w:w="1548" w:type="dxa"/>
            <w:tcBorders>
              <w:top w:val="single" w:color="auto" w:sz="4" w:space="0"/>
              <w:left w:val="nil"/>
              <w:bottom w:val="single" w:color="auto" w:sz="4" w:space="0"/>
              <w:right w:val="single" w:color="auto" w:sz="4" w:space="0"/>
            </w:tcBorders>
            <w:noWrap w:val="0"/>
            <w:vAlign w:val="center"/>
          </w:tcPr>
          <w:p w14:paraId="7CE544D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100</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-200</w:t>
            </w:r>
            <w:r>
              <w:rPr>
                <w:rFonts w:hint="eastAsia" w:ascii="仿宋_GB2312" w:hAnsi="等线" w:eastAsia="仿宋_GB2312" w:cs="宋体"/>
                <w:color w:val="333333"/>
                <w:kern w:val="0"/>
                <w:sz w:val="24"/>
                <w:szCs w:val="24"/>
              </w:rPr>
              <w:t>万元</w:t>
            </w:r>
          </w:p>
        </w:tc>
        <w:tc>
          <w:tcPr>
            <w:tcW w:w="2129" w:type="dxa"/>
            <w:tcBorders>
              <w:top w:val="single" w:color="auto" w:sz="4" w:space="0"/>
              <w:left w:val="nil"/>
              <w:bottom w:val="single" w:color="auto" w:sz="4" w:space="0"/>
              <w:right w:val="single" w:color="auto" w:sz="4" w:space="0"/>
            </w:tcBorders>
            <w:noWrap w:val="0"/>
            <w:vAlign w:val="center"/>
          </w:tcPr>
          <w:p w14:paraId="1B32EB62">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2DF4537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新增</w:t>
            </w:r>
          </w:p>
        </w:tc>
      </w:tr>
      <w:tr w14:paraId="37945B95">
        <w:tblPrEx>
          <w:tblCellMar>
            <w:top w:w="0" w:type="dxa"/>
            <w:left w:w="108" w:type="dxa"/>
            <w:bottom w:w="0" w:type="dxa"/>
            <w:right w:w="108" w:type="dxa"/>
          </w:tblCellMar>
        </w:tblPrEx>
        <w:trPr>
          <w:trHeight w:val="611"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0BE81B4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23</w:t>
            </w:r>
          </w:p>
        </w:tc>
        <w:tc>
          <w:tcPr>
            <w:tcW w:w="1536" w:type="dxa"/>
            <w:tcBorders>
              <w:top w:val="single" w:color="auto" w:sz="4" w:space="0"/>
              <w:left w:val="nil"/>
              <w:bottom w:val="single" w:color="auto" w:sz="4" w:space="0"/>
              <w:right w:val="single" w:color="auto" w:sz="4" w:space="0"/>
            </w:tcBorders>
            <w:noWrap w:val="0"/>
            <w:vAlign w:val="center"/>
          </w:tcPr>
          <w:p w14:paraId="4E99F15B">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美擎AIGC智能陪练系统V1.0</w:t>
            </w:r>
          </w:p>
        </w:tc>
        <w:tc>
          <w:tcPr>
            <w:tcW w:w="2313" w:type="dxa"/>
            <w:tcBorders>
              <w:top w:val="single" w:color="auto" w:sz="4" w:space="0"/>
              <w:left w:val="nil"/>
              <w:bottom w:val="single" w:color="auto" w:sz="4" w:space="0"/>
              <w:right w:val="single" w:color="auto" w:sz="4" w:space="0"/>
            </w:tcBorders>
            <w:noWrap w:val="0"/>
            <w:vAlign w:val="center"/>
          </w:tcPr>
          <w:p w14:paraId="4903A71F">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AI应用</w:t>
            </w:r>
          </w:p>
        </w:tc>
        <w:tc>
          <w:tcPr>
            <w:tcW w:w="4379" w:type="dxa"/>
            <w:tcBorders>
              <w:top w:val="single" w:color="auto" w:sz="4" w:space="0"/>
              <w:left w:val="nil"/>
              <w:bottom w:val="single" w:color="auto" w:sz="4" w:space="0"/>
              <w:right w:val="single" w:color="auto" w:sz="4" w:space="0"/>
            </w:tcBorders>
            <w:noWrap w:val="0"/>
            <w:vAlign w:val="center"/>
          </w:tcPr>
          <w:p w14:paraId="67668444">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机器人扮演真实用户，与学员进行沉浸式语音对练，对练时可生成智能评分呈现给学员，管理员侧可监控学员练习完成情况和得分，从而提升工程师或坐席人员服务水平与客户体验。</w:t>
            </w:r>
          </w:p>
        </w:tc>
        <w:tc>
          <w:tcPr>
            <w:tcW w:w="1548" w:type="dxa"/>
            <w:tcBorders>
              <w:top w:val="single" w:color="auto" w:sz="4" w:space="0"/>
              <w:left w:val="nil"/>
              <w:bottom w:val="single" w:color="auto" w:sz="4" w:space="0"/>
              <w:right w:val="single" w:color="auto" w:sz="4" w:space="0"/>
            </w:tcBorders>
            <w:noWrap w:val="0"/>
            <w:vAlign w:val="center"/>
          </w:tcPr>
          <w:p w14:paraId="2AC8E74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50</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-100</w:t>
            </w:r>
            <w:r>
              <w:rPr>
                <w:rFonts w:hint="eastAsia" w:ascii="仿宋_GB2312" w:hAnsi="等线" w:eastAsia="仿宋_GB2312" w:cs="宋体"/>
                <w:color w:val="333333"/>
                <w:kern w:val="0"/>
                <w:sz w:val="24"/>
                <w:szCs w:val="24"/>
              </w:rPr>
              <w:t>万元</w:t>
            </w:r>
          </w:p>
        </w:tc>
        <w:tc>
          <w:tcPr>
            <w:tcW w:w="2129" w:type="dxa"/>
            <w:tcBorders>
              <w:top w:val="single" w:color="auto" w:sz="4" w:space="0"/>
              <w:left w:val="nil"/>
              <w:bottom w:val="single" w:color="auto" w:sz="4" w:space="0"/>
              <w:right w:val="single" w:color="auto" w:sz="4" w:space="0"/>
            </w:tcBorders>
            <w:noWrap w:val="0"/>
            <w:vAlign w:val="center"/>
          </w:tcPr>
          <w:p w14:paraId="6E976047">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721E0A98">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新增</w:t>
            </w:r>
          </w:p>
        </w:tc>
      </w:tr>
      <w:tr w14:paraId="4A1F1355">
        <w:tblPrEx>
          <w:tblCellMar>
            <w:top w:w="0" w:type="dxa"/>
            <w:left w:w="108" w:type="dxa"/>
            <w:bottom w:w="0" w:type="dxa"/>
            <w:right w:w="108" w:type="dxa"/>
          </w:tblCellMar>
        </w:tblPrEx>
        <w:trPr>
          <w:trHeight w:val="279"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3858BED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24</w:t>
            </w:r>
          </w:p>
        </w:tc>
        <w:tc>
          <w:tcPr>
            <w:tcW w:w="1536" w:type="dxa"/>
            <w:tcBorders>
              <w:top w:val="single" w:color="auto" w:sz="4" w:space="0"/>
              <w:left w:val="nil"/>
              <w:bottom w:val="single" w:color="auto" w:sz="4" w:space="0"/>
              <w:right w:val="single" w:color="auto" w:sz="4" w:space="0"/>
            </w:tcBorders>
            <w:noWrap w:val="0"/>
            <w:vAlign w:val="center"/>
          </w:tcPr>
          <w:p w14:paraId="4BC3E62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美擎AIGC-AI画图系统[简称：美擎AI画图]V1.0</w:t>
            </w:r>
          </w:p>
        </w:tc>
        <w:tc>
          <w:tcPr>
            <w:tcW w:w="2313" w:type="dxa"/>
            <w:tcBorders>
              <w:top w:val="single" w:color="auto" w:sz="4" w:space="0"/>
              <w:left w:val="nil"/>
              <w:bottom w:val="single" w:color="auto" w:sz="4" w:space="0"/>
              <w:right w:val="single" w:color="auto" w:sz="4" w:space="0"/>
            </w:tcBorders>
            <w:noWrap w:val="0"/>
            <w:vAlign w:val="center"/>
          </w:tcPr>
          <w:p w14:paraId="731070C3">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AI应用</w:t>
            </w:r>
          </w:p>
        </w:tc>
        <w:tc>
          <w:tcPr>
            <w:tcW w:w="4379" w:type="dxa"/>
            <w:tcBorders>
              <w:top w:val="single" w:color="auto" w:sz="4" w:space="0"/>
              <w:left w:val="nil"/>
              <w:bottom w:val="single" w:color="auto" w:sz="4" w:space="0"/>
              <w:right w:val="single" w:color="auto" w:sz="4" w:space="0"/>
            </w:tcBorders>
            <w:noWrap w:val="0"/>
            <w:vAlign w:val="center"/>
          </w:tcPr>
          <w:p w14:paraId="1A956FCA">
            <w:pPr>
              <w:widowControl/>
              <w:jc w:val="left"/>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支持多种商用和开源的画图模型，SD/MJ/Flux等模型实现大模型的画图能力</w:t>
            </w:r>
          </w:p>
        </w:tc>
        <w:tc>
          <w:tcPr>
            <w:tcW w:w="1548" w:type="dxa"/>
            <w:tcBorders>
              <w:top w:val="single" w:color="auto" w:sz="4" w:space="0"/>
              <w:left w:val="nil"/>
              <w:bottom w:val="single" w:color="auto" w:sz="4" w:space="0"/>
              <w:right w:val="single" w:color="auto" w:sz="4" w:space="0"/>
            </w:tcBorders>
            <w:noWrap w:val="0"/>
            <w:vAlign w:val="center"/>
          </w:tcPr>
          <w:p w14:paraId="01F29C00">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60</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-150</w:t>
            </w:r>
            <w:r>
              <w:rPr>
                <w:rFonts w:hint="eastAsia" w:ascii="仿宋_GB2312" w:hAnsi="等线" w:eastAsia="仿宋_GB2312" w:cs="宋体"/>
                <w:color w:val="333333"/>
                <w:kern w:val="0"/>
                <w:sz w:val="24"/>
                <w:szCs w:val="24"/>
              </w:rPr>
              <w:t>万元</w:t>
            </w:r>
          </w:p>
        </w:tc>
        <w:tc>
          <w:tcPr>
            <w:tcW w:w="2129" w:type="dxa"/>
            <w:tcBorders>
              <w:top w:val="single" w:color="auto" w:sz="4" w:space="0"/>
              <w:left w:val="nil"/>
              <w:bottom w:val="single" w:color="auto" w:sz="4" w:space="0"/>
              <w:right w:val="single" w:color="auto" w:sz="4" w:space="0"/>
            </w:tcBorders>
            <w:noWrap w:val="0"/>
            <w:vAlign w:val="center"/>
          </w:tcPr>
          <w:p w14:paraId="21661CE7">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3F26F90A">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新增</w:t>
            </w:r>
          </w:p>
        </w:tc>
      </w:tr>
      <w:tr w14:paraId="6AFDEAB1">
        <w:tblPrEx>
          <w:tblCellMar>
            <w:top w:w="0" w:type="dxa"/>
            <w:left w:w="108" w:type="dxa"/>
            <w:bottom w:w="0" w:type="dxa"/>
            <w:right w:w="108" w:type="dxa"/>
          </w:tblCellMar>
        </w:tblPrEx>
        <w:trPr>
          <w:trHeight w:val="746"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784882FE">
            <w:pPr>
              <w:widowControl/>
              <w:jc w:val="center"/>
              <w:rPr>
                <w:rFonts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25</w:t>
            </w:r>
          </w:p>
        </w:tc>
        <w:tc>
          <w:tcPr>
            <w:tcW w:w="1536" w:type="dxa"/>
            <w:tcBorders>
              <w:top w:val="single" w:color="auto" w:sz="4" w:space="0"/>
              <w:left w:val="nil"/>
              <w:bottom w:val="single" w:color="auto" w:sz="4" w:space="0"/>
              <w:right w:val="single" w:color="auto" w:sz="4" w:space="0"/>
            </w:tcBorders>
            <w:noWrap w:val="0"/>
            <w:vAlign w:val="center"/>
          </w:tcPr>
          <w:p w14:paraId="135B4D0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美擎AIGC智能客服系统V1.0</w:t>
            </w:r>
          </w:p>
        </w:tc>
        <w:tc>
          <w:tcPr>
            <w:tcW w:w="2313" w:type="dxa"/>
            <w:tcBorders>
              <w:top w:val="single" w:color="auto" w:sz="4" w:space="0"/>
              <w:left w:val="nil"/>
              <w:bottom w:val="single" w:color="auto" w:sz="4" w:space="0"/>
              <w:right w:val="single" w:color="auto" w:sz="4" w:space="0"/>
            </w:tcBorders>
            <w:noWrap w:val="0"/>
            <w:vAlign w:val="center"/>
          </w:tcPr>
          <w:p w14:paraId="19F159EA">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AI应用</w:t>
            </w:r>
          </w:p>
        </w:tc>
        <w:tc>
          <w:tcPr>
            <w:tcW w:w="4379" w:type="dxa"/>
            <w:tcBorders>
              <w:top w:val="single" w:color="auto" w:sz="4" w:space="0"/>
              <w:left w:val="nil"/>
              <w:bottom w:val="single" w:color="auto" w:sz="4" w:space="0"/>
              <w:right w:val="single" w:color="auto" w:sz="4" w:space="0"/>
            </w:tcBorders>
            <w:noWrap w:val="0"/>
            <w:vAlign w:val="center"/>
          </w:tcPr>
          <w:p w14:paraId="34D8E4FF">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实现知识问答，通过PC和移动端的方式呈现问答能力给员工使用</w:t>
            </w:r>
          </w:p>
        </w:tc>
        <w:tc>
          <w:tcPr>
            <w:tcW w:w="1548" w:type="dxa"/>
            <w:tcBorders>
              <w:top w:val="single" w:color="auto" w:sz="4" w:space="0"/>
              <w:left w:val="nil"/>
              <w:bottom w:val="single" w:color="auto" w:sz="4" w:space="0"/>
              <w:right w:val="single" w:color="auto" w:sz="4" w:space="0"/>
            </w:tcBorders>
            <w:noWrap w:val="0"/>
            <w:vAlign w:val="center"/>
          </w:tcPr>
          <w:p w14:paraId="6718E23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150</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-200</w:t>
            </w:r>
            <w:r>
              <w:rPr>
                <w:rFonts w:hint="eastAsia" w:ascii="仿宋_GB2312" w:hAnsi="等线" w:eastAsia="仿宋_GB2312" w:cs="宋体"/>
                <w:color w:val="333333"/>
                <w:kern w:val="0"/>
                <w:sz w:val="24"/>
                <w:szCs w:val="24"/>
              </w:rPr>
              <w:t>万元</w:t>
            </w:r>
          </w:p>
        </w:tc>
        <w:tc>
          <w:tcPr>
            <w:tcW w:w="2129" w:type="dxa"/>
            <w:tcBorders>
              <w:top w:val="single" w:color="auto" w:sz="4" w:space="0"/>
              <w:left w:val="nil"/>
              <w:bottom w:val="single" w:color="auto" w:sz="4" w:space="0"/>
              <w:right w:val="single" w:color="auto" w:sz="4" w:space="0"/>
            </w:tcBorders>
            <w:noWrap w:val="0"/>
            <w:vAlign w:val="center"/>
          </w:tcPr>
          <w:p w14:paraId="19177BE6">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142ACE9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新增</w:t>
            </w:r>
          </w:p>
        </w:tc>
      </w:tr>
      <w:tr w14:paraId="7F0BFB65">
        <w:tblPrEx>
          <w:tblCellMar>
            <w:top w:w="0" w:type="dxa"/>
            <w:left w:w="108" w:type="dxa"/>
            <w:bottom w:w="0" w:type="dxa"/>
            <w:right w:w="108" w:type="dxa"/>
          </w:tblCellMar>
        </w:tblPrEx>
        <w:trPr>
          <w:trHeight w:val="611"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23C9A3F5">
            <w:pPr>
              <w:widowControl/>
              <w:jc w:val="center"/>
              <w:rPr>
                <w:rFonts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26</w:t>
            </w:r>
          </w:p>
        </w:tc>
        <w:tc>
          <w:tcPr>
            <w:tcW w:w="1536" w:type="dxa"/>
            <w:tcBorders>
              <w:top w:val="single" w:color="auto" w:sz="4" w:space="0"/>
              <w:left w:val="nil"/>
              <w:bottom w:val="single" w:color="auto" w:sz="4" w:space="0"/>
              <w:right w:val="single" w:color="auto" w:sz="4" w:space="0"/>
            </w:tcBorders>
            <w:noWrap w:val="0"/>
            <w:vAlign w:val="center"/>
          </w:tcPr>
          <w:p w14:paraId="0F8FC89B">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美擎AIGC智能翻译系统V1.0</w:t>
            </w:r>
          </w:p>
        </w:tc>
        <w:tc>
          <w:tcPr>
            <w:tcW w:w="2313" w:type="dxa"/>
            <w:tcBorders>
              <w:top w:val="single" w:color="auto" w:sz="4" w:space="0"/>
              <w:left w:val="nil"/>
              <w:bottom w:val="single" w:color="auto" w:sz="4" w:space="0"/>
              <w:right w:val="single" w:color="auto" w:sz="4" w:space="0"/>
            </w:tcBorders>
            <w:noWrap w:val="0"/>
            <w:vAlign w:val="center"/>
          </w:tcPr>
          <w:p w14:paraId="2838B1D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AI应用</w:t>
            </w:r>
          </w:p>
        </w:tc>
        <w:tc>
          <w:tcPr>
            <w:tcW w:w="4379" w:type="dxa"/>
            <w:tcBorders>
              <w:top w:val="single" w:color="auto" w:sz="4" w:space="0"/>
              <w:left w:val="nil"/>
              <w:bottom w:val="single" w:color="auto" w:sz="4" w:space="0"/>
              <w:right w:val="single" w:color="auto" w:sz="4" w:space="0"/>
            </w:tcBorders>
            <w:noWrap w:val="0"/>
            <w:vAlign w:val="center"/>
          </w:tcPr>
          <w:p w14:paraId="67CDD3B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AIGC智能问答平台，支持RAG能力，支持多模态知识导入，FAQ能力，文档知识提取，系统接口数据查询，敏感字段，Query重写，敏感词模型，查询自动纠错，意图识别，多路召回FAQ，文本，向量模型，排序权重配置，大模型配置化，支持智能问答机器人，多语言问答，语音文本响应，多环境PC，移动支持，敏感词过滤，专有名词库</w:t>
            </w:r>
          </w:p>
        </w:tc>
        <w:tc>
          <w:tcPr>
            <w:tcW w:w="1548" w:type="dxa"/>
            <w:tcBorders>
              <w:top w:val="single" w:color="auto" w:sz="4" w:space="0"/>
              <w:left w:val="nil"/>
              <w:bottom w:val="single" w:color="auto" w:sz="4" w:space="0"/>
              <w:right w:val="single" w:color="auto" w:sz="4" w:space="0"/>
            </w:tcBorders>
            <w:noWrap w:val="0"/>
            <w:vAlign w:val="center"/>
          </w:tcPr>
          <w:p w14:paraId="0DB088DE">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50</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-150</w:t>
            </w:r>
            <w:r>
              <w:rPr>
                <w:rFonts w:hint="eastAsia" w:ascii="仿宋_GB2312" w:hAnsi="等线" w:eastAsia="仿宋_GB2312" w:cs="宋体"/>
                <w:color w:val="333333"/>
                <w:kern w:val="0"/>
                <w:sz w:val="24"/>
                <w:szCs w:val="24"/>
              </w:rPr>
              <w:t>万元</w:t>
            </w:r>
          </w:p>
        </w:tc>
        <w:tc>
          <w:tcPr>
            <w:tcW w:w="2129" w:type="dxa"/>
            <w:tcBorders>
              <w:top w:val="single" w:color="auto" w:sz="4" w:space="0"/>
              <w:left w:val="nil"/>
              <w:bottom w:val="single" w:color="auto" w:sz="4" w:space="0"/>
              <w:right w:val="single" w:color="auto" w:sz="4" w:space="0"/>
            </w:tcBorders>
            <w:noWrap w:val="0"/>
            <w:vAlign w:val="center"/>
          </w:tcPr>
          <w:p w14:paraId="0D9E24F8">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255B704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新增</w:t>
            </w:r>
          </w:p>
        </w:tc>
      </w:tr>
      <w:tr w14:paraId="59753C1C">
        <w:tblPrEx>
          <w:tblCellMar>
            <w:top w:w="0" w:type="dxa"/>
            <w:left w:w="108" w:type="dxa"/>
            <w:bottom w:w="0" w:type="dxa"/>
            <w:right w:w="108" w:type="dxa"/>
          </w:tblCellMar>
        </w:tblPrEx>
        <w:trPr>
          <w:trHeight w:val="611"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1B314BB6">
            <w:pPr>
              <w:widowControl/>
              <w:jc w:val="center"/>
              <w:rPr>
                <w:rFonts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27</w:t>
            </w:r>
          </w:p>
        </w:tc>
        <w:tc>
          <w:tcPr>
            <w:tcW w:w="1536" w:type="dxa"/>
            <w:tcBorders>
              <w:top w:val="single" w:color="auto" w:sz="4" w:space="0"/>
              <w:left w:val="nil"/>
              <w:bottom w:val="single" w:color="auto" w:sz="4" w:space="0"/>
              <w:right w:val="single" w:color="auto" w:sz="4" w:space="0"/>
            </w:tcBorders>
            <w:noWrap w:val="0"/>
            <w:vAlign w:val="center"/>
          </w:tcPr>
          <w:p w14:paraId="084699BA">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美擎AIGC Chat BI 系统V1.0</w:t>
            </w:r>
          </w:p>
        </w:tc>
        <w:tc>
          <w:tcPr>
            <w:tcW w:w="2313" w:type="dxa"/>
            <w:tcBorders>
              <w:top w:val="single" w:color="auto" w:sz="4" w:space="0"/>
              <w:left w:val="nil"/>
              <w:bottom w:val="single" w:color="auto" w:sz="4" w:space="0"/>
              <w:right w:val="single" w:color="auto" w:sz="4" w:space="0"/>
            </w:tcBorders>
            <w:noWrap w:val="0"/>
            <w:vAlign w:val="center"/>
          </w:tcPr>
          <w:p w14:paraId="6CE7609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AI应用</w:t>
            </w:r>
          </w:p>
        </w:tc>
        <w:tc>
          <w:tcPr>
            <w:tcW w:w="4379" w:type="dxa"/>
            <w:tcBorders>
              <w:top w:val="single" w:color="auto" w:sz="4" w:space="0"/>
              <w:left w:val="nil"/>
              <w:bottom w:val="single" w:color="auto" w:sz="4" w:space="0"/>
              <w:right w:val="single" w:color="auto" w:sz="4" w:space="0"/>
            </w:tcBorders>
            <w:noWrap w:val="0"/>
            <w:vAlign w:val="center"/>
          </w:tcPr>
          <w:p w14:paraId="01DE33E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实现经营数据问答能力，支持通过聊天的方式实现数据的问答</w:t>
            </w:r>
          </w:p>
        </w:tc>
        <w:tc>
          <w:tcPr>
            <w:tcW w:w="1548" w:type="dxa"/>
            <w:tcBorders>
              <w:top w:val="single" w:color="auto" w:sz="4" w:space="0"/>
              <w:left w:val="nil"/>
              <w:bottom w:val="single" w:color="auto" w:sz="4" w:space="0"/>
              <w:right w:val="single" w:color="auto" w:sz="4" w:space="0"/>
            </w:tcBorders>
            <w:noWrap w:val="0"/>
            <w:vAlign w:val="center"/>
          </w:tcPr>
          <w:p w14:paraId="6220856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50</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-150</w:t>
            </w:r>
            <w:r>
              <w:rPr>
                <w:rFonts w:hint="eastAsia" w:ascii="仿宋_GB2312" w:hAnsi="等线" w:eastAsia="仿宋_GB2312" w:cs="宋体"/>
                <w:color w:val="333333"/>
                <w:kern w:val="0"/>
                <w:sz w:val="24"/>
                <w:szCs w:val="24"/>
              </w:rPr>
              <w:t>万元</w:t>
            </w:r>
          </w:p>
        </w:tc>
        <w:tc>
          <w:tcPr>
            <w:tcW w:w="2129" w:type="dxa"/>
            <w:tcBorders>
              <w:top w:val="single" w:color="auto" w:sz="4" w:space="0"/>
              <w:left w:val="nil"/>
              <w:bottom w:val="single" w:color="auto" w:sz="4" w:space="0"/>
              <w:right w:val="single" w:color="auto" w:sz="4" w:space="0"/>
            </w:tcBorders>
            <w:noWrap w:val="0"/>
            <w:vAlign w:val="center"/>
          </w:tcPr>
          <w:p w14:paraId="1B54BF45">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20EDCEAD">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新增</w:t>
            </w:r>
          </w:p>
        </w:tc>
      </w:tr>
      <w:tr w14:paraId="32E14DF0">
        <w:tblPrEx>
          <w:tblCellMar>
            <w:top w:w="0" w:type="dxa"/>
            <w:left w:w="108" w:type="dxa"/>
            <w:bottom w:w="0" w:type="dxa"/>
            <w:right w:w="108" w:type="dxa"/>
          </w:tblCellMar>
        </w:tblPrEx>
        <w:trPr>
          <w:trHeight w:val="611" w:hRule="atLeast"/>
        </w:trPr>
        <w:tc>
          <w:tcPr>
            <w:tcW w:w="805" w:type="dxa"/>
            <w:tcBorders>
              <w:top w:val="single" w:color="auto" w:sz="4" w:space="0"/>
              <w:left w:val="single" w:color="auto" w:sz="4" w:space="0"/>
              <w:bottom w:val="single" w:color="auto" w:sz="4" w:space="0"/>
              <w:right w:val="single" w:color="auto" w:sz="4" w:space="0"/>
            </w:tcBorders>
            <w:noWrap w:val="0"/>
            <w:vAlign w:val="center"/>
          </w:tcPr>
          <w:p w14:paraId="148DDA72">
            <w:pPr>
              <w:widowControl/>
              <w:jc w:val="center"/>
              <w:rPr>
                <w:rFonts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28</w:t>
            </w:r>
          </w:p>
        </w:tc>
        <w:tc>
          <w:tcPr>
            <w:tcW w:w="1536" w:type="dxa"/>
            <w:tcBorders>
              <w:top w:val="single" w:color="auto" w:sz="4" w:space="0"/>
              <w:left w:val="nil"/>
              <w:bottom w:val="single" w:color="auto" w:sz="4" w:space="0"/>
              <w:right w:val="single" w:color="auto" w:sz="4" w:space="0"/>
            </w:tcBorders>
            <w:noWrap w:val="0"/>
            <w:vAlign w:val="center"/>
          </w:tcPr>
          <w:p w14:paraId="4B225A0C">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美擎AIGC开发者平台V1.0</w:t>
            </w:r>
          </w:p>
        </w:tc>
        <w:tc>
          <w:tcPr>
            <w:tcW w:w="2313" w:type="dxa"/>
            <w:tcBorders>
              <w:top w:val="single" w:color="auto" w:sz="4" w:space="0"/>
              <w:left w:val="nil"/>
              <w:bottom w:val="single" w:color="auto" w:sz="4" w:space="0"/>
              <w:right w:val="single" w:color="auto" w:sz="4" w:space="0"/>
            </w:tcBorders>
            <w:noWrap w:val="0"/>
            <w:vAlign w:val="center"/>
          </w:tcPr>
          <w:p w14:paraId="4F7AD727">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AI软件开发平台</w:t>
            </w:r>
          </w:p>
        </w:tc>
        <w:tc>
          <w:tcPr>
            <w:tcW w:w="4379" w:type="dxa"/>
            <w:tcBorders>
              <w:top w:val="single" w:color="auto" w:sz="4" w:space="0"/>
              <w:left w:val="nil"/>
              <w:bottom w:val="single" w:color="auto" w:sz="4" w:space="0"/>
              <w:right w:val="single" w:color="auto" w:sz="4" w:space="0"/>
            </w:tcBorders>
            <w:noWrap w:val="0"/>
            <w:vAlign w:val="center"/>
          </w:tcPr>
          <w:p w14:paraId="7B499AF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AIGC面向开发者自主研发，通过AI技术及大模型赋能，协助开发者开发基于AI及大模型的各类应用。降低AIGC服务构造和发布的难度，实现人人可用的AIGC能力。</w:t>
            </w:r>
          </w:p>
        </w:tc>
        <w:tc>
          <w:tcPr>
            <w:tcW w:w="1548" w:type="dxa"/>
            <w:tcBorders>
              <w:top w:val="single" w:color="auto" w:sz="4" w:space="0"/>
              <w:left w:val="nil"/>
              <w:bottom w:val="single" w:color="auto" w:sz="4" w:space="0"/>
              <w:right w:val="single" w:color="auto" w:sz="4" w:space="0"/>
            </w:tcBorders>
            <w:noWrap w:val="0"/>
            <w:vAlign w:val="center"/>
          </w:tcPr>
          <w:p w14:paraId="7D286F45">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100</w:t>
            </w:r>
            <w:r>
              <w:rPr>
                <w:rFonts w:hint="eastAsia" w:ascii="仿宋_GB2312" w:hAnsi="等线" w:eastAsia="仿宋_GB2312" w:cs="宋体"/>
                <w:color w:val="333333"/>
                <w:kern w:val="0"/>
                <w:sz w:val="24"/>
                <w:szCs w:val="24"/>
              </w:rPr>
              <w:t>万元</w:t>
            </w:r>
            <w:r>
              <w:rPr>
                <w:rFonts w:hint="eastAsia" w:ascii="仿宋_GB2312" w:hAnsi="等线" w:eastAsia="仿宋_GB2312" w:cs="宋体"/>
                <w:color w:val="000000"/>
                <w:kern w:val="0"/>
                <w:sz w:val="24"/>
                <w:szCs w:val="24"/>
              </w:rPr>
              <w:t>-200</w:t>
            </w:r>
            <w:r>
              <w:rPr>
                <w:rFonts w:hint="eastAsia" w:ascii="仿宋_GB2312" w:hAnsi="等线" w:eastAsia="仿宋_GB2312" w:cs="宋体"/>
                <w:color w:val="333333"/>
                <w:kern w:val="0"/>
                <w:sz w:val="24"/>
                <w:szCs w:val="24"/>
              </w:rPr>
              <w:t>万元</w:t>
            </w:r>
          </w:p>
        </w:tc>
        <w:tc>
          <w:tcPr>
            <w:tcW w:w="2129" w:type="dxa"/>
            <w:tcBorders>
              <w:top w:val="single" w:color="auto" w:sz="4" w:space="0"/>
              <w:left w:val="nil"/>
              <w:bottom w:val="single" w:color="auto" w:sz="4" w:space="0"/>
              <w:right w:val="single" w:color="auto" w:sz="4" w:space="0"/>
            </w:tcBorders>
            <w:noWrap w:val="0"/>
            <w:vAlign w:val="center"/>
          </w:tcPr>
          <w:p w14:paraId="6DE15B39">
            <w:pPr>
              <w:widowControl/>
              <w:jc w:val="center"/>
              <w:rPr>
                <w:rFonts w:hint="eastAsia" w:ascii="仿宋_GB2312" w:hAnsi="等线" w:eastAsia="仿宋_GB2312" w:cs="宋体"/>
                <w:color w:val="000000"/>
                <w:kern w:val="0"/>
                <w:sz w:val="24"/>
                <w:szCs w:val="24"/>
              </w:rPr>
            </w:pPr>
          </w:p>
        </w:tc>
        <w:tc>
          <w:tcPr>
            <w:tcW w:w="1351" w:type="dxa"/>
            <w:tcBorders>
              <w:top w:val="single" w:color="auto" w:sz="4" w:space="0"/>
              <w:left w:val="nil"/>
              <w:bottom w:val="single" w:color="auto" w:sz="4" w:space="0"/>
              <w:right w:val="single" w:color="auto" w:sz="4" w:space="0"/>
            </w:tcBorders>
            <w:noWrap w:val="0"/>
            <w:vAlign w:val="center"/>
          </w:tcPr>
          <w:p w14:paraId="5AD7F68F">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新增</w:t>
            </w:r>
          </w:p>
        </w:tc>
      </w:tr>
    </w:tbl>
    <w:p w14:paraId="3D688011">
      <w:pPr>
        <w:rPr>
          <w:rFonts w:ascii="仿宋_GB2312" w:hAnsi="仿宋_GB2312" w:eastAsia="仿宋_GB2312" w:cs="仿宋_GB2312"/>
          <w:bCs/>
          <w:sz w:val="32"/>
          <w:szCs w:val="32"/>
        </w:rPr>
      </w:pPr>
    </w:p>
    <w:p w14:paraId="4F566442">
      <w:pPr>
        <w:rPr>
          <w:rFonts w:ascii="仿宋_GB2312" w:hAnsi="仿宋_GB2312" w:eastAsia="仿宋_GB2312" w:cs="仿宋_GB2312"/>
          <w:bCs/>
          <w:sz w:val="32"/>
          <w:szCs w:val="32"/>
        </w:rPr>
        <w:sectPr>
          <w:pgSz w:w="16838" w:h="11906" w:orient="landscape"/>
          <w:pgMar w:top="1797" w:right="1440" w:bottom="1797" w:left="1440" w:header="851" w:footer="992" w:gutter="0"/>
          <w:cols w:space="720" w:num="1"/>
          <w:docGrid w:type="lines" w:linePitch="381" w:charSpace="0"/>
        </w:sectPr>
      </w:pPr>
    </w:p>
    <w:p w14:paraId="235481C0">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（三）联合体成员：中国移动通信集团广东有限公司佛山分公司</w:t>
      </w:r>
    </w:p>
    <w:tbl>
      <w:tblPr>
        <w:tblStyle w:val="14"/>
        <w:tblW w:w="0" w:type="auto"/>
        <w:tblInd w:w="0" w:type="dxa"/>
        <w:tblLayout w:type="autofit"/>
        <w:tblCellMar>
          <w:top w:w="0" w:type="dxa"/>
          <w:left w:w="108" w:type="dxa"/>
          <w:bottom w:w="0" w:type="dxa"/>
          <w:right w:w="108" w:type="dxa"/>
        </w:tblCellMar>
      </w:tblPr>
      <w:tblGrid>
        <w:gridCol w:w="806"/>
        <w:gridCol w:w="1511"/>
        <w:gridCol w:w="2318"/>
        <w:gridCol w:w="4387"/>
        <w:gridCol w:w="2695"/>
        <w:gridCol w:w="989"/>
        <w:gridCol w:w="1353"/>
      </w:tblGrid>
      <w:tr w14:paraId="78314EA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noWrap w:val="0"/>
            <w:vAlign w:val="center"/>
          </w:tcPr>
          <w:p w14:paraId="0EDE2593">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序号</w:t>
            </w:r>
          </w:p>
        </w:tc>
        <w:tc>
          <w:tcPr>
            <w:tcW w:w="1511" w:type="dxa"/>
            <w:tcBorders>
              <w:top w:val="single" w:color="auto" w:sz="4" w:space="0"/>
              <w:left w:val="nil"/>
              <w:bottom w:val="single" w:color="auto" w:sz="4" w:space="0"/>
              <w:right w:val="single" w:color="auto" w:sz="4" w:space="0"/>
            </w:tcBorders>
            <w:noWrap w:val="0"/>
            <w:vAlign w:val="center"/>
          </w:tcPr>
          <w:p w14:paraId="49C2C0F7">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产品名称</w:t>
            </w:r>
          </w:p>
        </w:tc>
        <w:tc>
          <w:tcPr>
            <w:tcW w:w="2318" w:type="dxa"/>
            <w:tcBorders>
              <w:top w:val="single" w:color="auto" w:sz="4" w:space="0"/>
              <w:left w:val="nil"/>
              <w:bottom w:val="single" w:color="auto" w:sz="4" w:space="0"/>
              <w:right w:val="single" w:color="auto" w:sz="4" w:space="0"/>
            </w:tcBorders>
            <w:noWrap w:val="0"/>
            <w:vAlign w:val="center"/>
          </w:tcPr>
          <w:p w14:paraId="31143BE9">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定位</w:t>
            </w:r>
          </w:p>
        </w:tc>
        <w:tc>
          <w:tcPr>
            <w:tcW w:w="4387" w:type="dxa"/>
            <w:tcBorders>
              <w:top w:val="single" w:color="auto" w:sz="4" w:space="0"/>
              <w:left w:val="nil"/>
              <w:bottom w:val="single" w:color="auto" w:sz="4" w:space="0"/>
              <w:right w:val="single" w:color="auto" w:sz="4" w:space="0"/>
            </w:tcBorders>
            <w:noWrap w:val="0"/>
            <w:vAlign w:val="center"/>
          </w:tcPr>
          <w:p w14:paraId="27B2016A">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2695" w:type="dxa"/>
            <w:tcBorders>
              <w:top w:val="single" w:color="auto" w:sz="4" w:space="0"/>
              <w:left w:val="nil"/>
              <w:bottom w:val="single" w:color="auto" w:sz="4" w:space="0"/>
              <w:right w:val="single" w:color="auto" w:sz="4" w:space="0"/>
            </w:tcBorders>
            <w:noWrap w:val="0"/>
            <w:vAlign w:val="center"/>
          </w:tcPr>
          <w:p w14:paraId="6D0ACB25">
            <w:pPr>
              <w:widowControl/>
              <w:jc w:val="center"/>
              <w:rPr>
                <w:rFonts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989" w:type="dxa"/>
            <w:tcBorders>
              <w:top w:val="single" w:color="auto" w:sz="4" w:space="0"/>
              <w:left w:val="nil"/>
              <w:bottom w:val="single" w:color="auto" w:sz="4" w:space="0"/>
              <w:right w:val="single" w:color="auto" w:sz="4" w:space="0"/>
            </w:tcBorders>
            <w:noWrap w:val="0"/>
            <w:vAlign w:val="center"/>
          </w:tcPr>
          <w:p w14:paraId="4AC16902">
            <w:pPr>
              <w:widowControl/>
              <w:jc w:val="center"/>
              <w:rPr>
                <w:rFonts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c>
          <w:tcPr>
            <w:tcW w:w="1353" w:type="dxa"/>
            <w:tcBorders>
              <w:top w:val="single" w:color="auto" w:sz="4" w:space="0"/>
              <w:left w:val="nil"/>
              <w:bottom w:val="single" w:color="auto" w:sz="4" w:space="0"/>
              <w:right w:val="single" w:color="auto" w:sz="4" w:space="0"/>
            </w:tcBorders>
            <w:noWrap w:val="0"/>
            <w:vAlign w:val="center"/>
          </w:tcPr>
          <w:p w14:paraId="4080E0B4">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是否</w:t>
            </w:r>
          </w:p>
          <w:p w14:paraId="226CA0E5">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新增/修订</w:t>
            </w:r>
          </w:p>
        </w:tc>
      </w:tr>
      <w:tr w14:paraId="2477893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noWrap w:val="0"/>
            <w:vAlign w:val="center"/>
          </w:tcPr>
          <w:p w14:paraId="32D9F398">
            <w:pPr>
              <w:widowControl/>
              <w:jc w:val="center"/>
              <w:textAlignment w:val="center"/>
              <w:rPr>
                <w:rFonts w:hint="eastAsia" w:ascii="仿宋_GB2312" w:hAnsi="仿宋_GB2312" w:eastAsia="仿宋_GB2312" w:cs="仿宋_GB2312"/>
                <w:b/>
                <w:bCs/>
                <w:kern w:val="0"/>
                <w:sz w:val="24"/>
                <w:szCs w:val="24"/>
                <w:lang w:eastAsia="zh-CN"/>
              </w:rPr>
            </w:pPr>
            <w:r>
              <w:rPr>
                <w:rFonts w:hint="eastAsia" w:ascii="仿宋_GB2312" w:hAnsi="仿宋_GB2312" w:eastAsia="仿宋_GB2312" w:cs="仿宋_GB2312"/>
                <w:b/>
                <w:bCs/>
                <w:kern w:val="0"/>
                <w:sz w:val="24"/>
                <w:szCs w:val="24"/>
                <w:lang w:val="en-US" w:eastAsia="zh-CN" w:bidi="ar"/>
              </w:rPr>
              <w:t>1</w:t>
            </w:r>
          </w:p>
        </w:tc>
        <w:tc>
          <w:tcPr>
            <w:tcW w:w="1511" w:type="dxa"/>
            <w:tcBorders>
              <w:top w:val="single" w:color="auto" w:sz="4" w:space="0"/>
              <w:left w:val="nil"/>
              <w:bottom w:val="single" w:color="auto" w:sz="4" w:space="0"/>
              <w:right w:val="single" w:color="auto" w:sz="4" w:space="0"/>
            </w:tcBorders>
            <w:noWrap w:val="0"/>
            <w:vAlign w:val="center"/>
          </w:tcPr>
          <w:p w14:paraId="587970D9">
            <w:pPr>
              <w:widowControl/>
              <w:jc w:val="center"/>
              <w:textAlignment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kern w:val="0"/>
                <w:sz w:val="24"/>
                <w:szCs w:val="24"/>
                <w:lang w:bidi="ar"/>
              </w:rPr>
              <w:t>IOT数字化连接</w:t>
            </w:r>
          </w:p>
        </w:tc>
        <w:tc>
          <w:tcPr>
            <w:tcW w:w="2318" w:type="dxa"/>
            <w:tcBorders>
              <w:top w:val="single" w:color="auto" w:sz="4" w:space="0"/>
              <w:left w:val="nil"/>
              <w:bottom w:val="single" w:color="auto" w:sz="4" w:space="0"/>
              <w:right w:val="single" w:color="auto" w:sz="4" w:space="0"/>
            </w:tcBorders>
            <w:noWrap w:val="0"/>
            <w:vAlign w:val="center"/>
          </w:tcPr>
          <w:p w14:paraId="1B72DA12">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生产制造</w:t>
            </w:r>
          </w:p>
        </w:tc>
        <w:tc>
          <w:tcPr>
            <w:tcW w:w="4387" w:type="dxa"/>
            <w:tcBorders>
              <w:top w:val="single" w:color="auto" w:sz="4" w:space="0"/>
              <w:left w:val="nil"/>
              <w:bottom w:val="single" w:color="auto" w:sz="4" w:space="0"/>
              <w:right w:val="single" w:color="auto" w:sz="4" w:space="0"/>
            </w:tcBorders>
            <w:noWrap w:val="0"/>
            <w:vAlign w:val="center"/>
          </w:tcPr>
          <w:p w14:paraId="5D58EA09">
            <w:pPr>
              <w:widowControl/>
              <w:jc w:val="left"/>
              <w:textAlignment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kern w:val="0"/>
                <w:sz w:val="24"/>
                <w:szCs w:val="24"/>
                <w:lang w:bidi="ar"/>
              </w:rPr>
              <w:t>设备综合效率(OEE)损失减少，打通数据孤岛，连接企业现有系统，基于行业模板分析生产数据，辅助精准施策，有效提升生产效率；随时掌握设备运行情况，并对故障进行预测报警，远程操控检测和维修，有效降低维护成本</w:t>
            </w:r>
          </w:p>
        </w:tc>
        <w:tc>
          <w:tcPr>
            <w:tcW w:w="2695" w:type="dxa"/>
            <w:tcBorders>
              <w:top w:val="single" w:color="auto" w:sz="4" w:space="0"/>
              <w:left w:val="nil"/>
              <w:bottom w:val="single" w:color="auto" w:sz="4" w:space="0"/>
              <w:right w:val="single" w:color="auto" w:sz="4" w:space="0"/>
            </w:tcBorders>
            <w:noWrap w:val="0"/>
            <w:vAlign w:val="center"/>
          </w:tcPr>
          <w:p w14:paraId="79612693">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云化部署：</w:t>
            </w:r>
          </w:p>
          <w:p w14:paraId="6429A0D6">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0.48*N/年</w:t>
            </w:r>
          </w:p>
          <w:p w14:paraId="4E166D76">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私有化部署：</w:t>
            </w:r>
          </w:p>
          <w:p w14:paraId="60D98F0C">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90</w:t>
            </w:r>
            <w:r>
              <w:rPr>
                <w:rFonts w:hint="eastAsia" w:ascii="仿宋_GB2312" w:hAnsi="等线" w:eastAsia="仿宋_GB2312" w:cs="宋体"/>
                <w:color w:val="333333"/>
                <w:kern w:val="0"/>
                <w:sz w:val="24"/>
                <w:szCs w:val="24"/>
              </w:rPr>
              <w:t>万</w:t>
            </w:r>
            <w:r>
              <w:rPr>
                <w:rFonts w:hint="eastAsia" w:ascii="仿宋_GB2312" w:hAnsi="等线" w:eastAsia="仿宋_GB2312" w:cs="宋体"/>
                <w:color w:val="333333"/>
                <w:kern w:val="0"/>
                <w:sz w:val="24"/>
                <w:szCs w:val="24"/>
                <w:lang w:val="en-US" w:eastAsia="zh-CN"/>
              </w:rPr>
              <w:t>元</w:t>
            </w:r>
          </w:p>
          <w:p w14:paraId="3CDE0E91">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N为设备数量</w:t>
            </w:r>
          </w:p>
          <w:p w14:paraId="52CDB7FC">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硬件及定制开发内容根据实际情况进行评估</w:t>
            </w:r>
          </w:p>
        </w:tc>
        <w:tc>
          <w:tcPr>
            <w:tcW w:w="989" w:type="dxa"/>
            <w:tcBorders>
              <w:top w:val="single" w:color="auto" w:sz="4" w:space="0"/>
              <w:left w:val="nil"/>
              <w:bottom w:val="single" w:color="auto" w:sz="4" w:space="0"/>
              <w:right w:val="single" w:color="auto" w:sz="4" w:space="0"/>
            </w:tcBorders>
            <w:noWrap w:val="0"/>
            <w:vAlign w:val="center"/>
          </w:tcPr>
          <w:p w14:paraId="1CCB419D">
            <w:pPr>
              <w:jc w:val="center"/>
              <w:rPr>
                <w:rFonts w:hint="eastAsia" w:ascii="仿宋_GB2312" w:hAnsi="仿宋_GB2312" w:eastAsia="仿宋_GB2312" w:cs="仿宋_GB2312"/>
                <w:b/>
                <w:bCs/>
                <w:kern w:val="0"/>
                <w:sz w:val="24"/>
                <w:szCs w:val="24"/>
              </w:rPr>
            </w:pPr>
          </w:p>
        </w:tc>
        <w:tc>
          <w:tcPr>
            <w:tcW w:w="1353" w:type="dxa"/>
            <w:tcBorders>
              <w:top w:val="single" w:color="auto" w:sz="4" w:space="0"/>
              <w:left w:val="nil"/>
              <w:bottom w:val="single" w:color="auto" w:sz="4" w:space="0"/>
              <w:right w:val="single" w:color="auto" w:sz="4" w:space="0"/>
            </w:tcBorders>
            <w:noWrap w:val="0"/>
            <w:vAlign w:val="center"/>
          </w:tcPr>
          <w:p w14:paraId="1C4295F5">
            <w:pPr>
              <w:jc w:val="center"/>
              <w:rPr>
                <w:rFonts w:hint="eastAsia" w:ascii="仿宋_GB2312" w:hAnsi="仿宋_GB2312" w:eastAsia="仿宋_GB2312" w:cs="仿宋_GB2312"/>
                <w:b/>
                <w:bCs/>
                <w:kern w:val="0"/>
                <w:sz w:val="24"/>
                <w:szCs w:val="24"/>
              </w:rPr>
            </w:pPr>
          </w:p>
        </w:tc>
      </w:tr>
      <w:tr w14:paraId="5706481D">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noWrap w:val="0"/>
            <w:vAlign w:val="center"/>
          </w:tcPr>
          <w:p w14:paraId="47C26FFF">
            <w:pPr>
              <w:widowControl/>
              <w:jc w:val="center"/>
              <w:textAlignment w:val="center"/>
              <w:rPr>
                <w:rFonts w:hint="eastAsia" w:ascii="仿宋_GB2312" w:hAnsi="仿宋_GB2312" w:eastAsia="仿宋_GB2312" w:cs="仿宋_GB2312"/>
                <w:b/>
                <w:bCs/>
                <w:kern w:val="0"/>
                <w:sz w:val="24"/>
                <w:szCs w:val="24"/>
                <w:lang w:eastAsia="zh-CN"/>
              </w:rPr>
            </w:pPr>
            <w:r>
              <w:rPr>
                <w:rFonts w:hint="eastAsia" w:ascii="仿宋_GB2312" w:hAnsi="仿宋_GB2312" w:eastAsia="仿宋_GB2312" w:cs="仿宋_GB2312"/>
                <w:b/>
                <w:bCs/>
                <w:kern w:val="0"/>
                <w:sz w:val="24"/>
                <w:szCs w:val="24"/>
                <w:lang w:val="en-US" w:eastAsia="zh-CN"/>
              </w:rPr>
              <w:t>2</w:t>
            </w:r>
          </w:p>
        </w:tc>
        <w:tc>
          <w:tcPr>
            <w:tcW w:w="1511" w:type="dxa"/>
            <w:tcBorders>
              <w:top w:val="single" w:color="auto" w:sz="4" w:space="0"/>
              <w:left w:val="nil"/>
              <w:bottom w:val="single" w:color="auto" w:sz="4" w:space="0"/>
              <w:right w:val="single" w:color="auto" w:sz="4" w:space="0"/>
            </w:tcBorders>
            <w:noWrap w:val="0"/>
            <w:vAlign w:val="center"/>
          </w:tcPr>
          <w:p w14:paraId="1EFEA663">
            <w:pPr>
              <w:widowControl/>
              <w:jc w:val="center"/>
              <w:textAlignment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kern w:val="0"/>
                <w:sz w:val="24"/>
                <w:szCs w:val="24"/>
                <w:lang w:bidi="ar"/>
              </w:rPr>
              <w:t>5G+工业质检</w:t>
            </w:r>
          </w:p>
        </w:tc>
        <w:tc>
          <w:tcPr>
            <w:tcW w:w="2318" w:type="dxa"/>
            <w:tcBorders>
              <w:top w:val="single" w:color="auto" w:sz="4" w:space="0"/>
              <w:left w:val="nil"/>
              <w:bottom w:val="single" w:color="auto" w:sz="4" w:space="0"/>
              <w:right w:val="single" w:color="auto" w:sz="4" w:space="0"/>
            </w:tcBorders>
            <w:noWrap w:val="0"/>
            <w:vAlign w:val="center"/>
          </w:tcPr>
          <w:p w14:paraId="7ECEC122">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生产制造</w:t>
            </w:r>
          </w:p>
        </w:tc>
        <w:tc>
          <w:tcPr>
            <w:tcW w:w="4387" w:type="dxa"/>
            <w:tcBorders>
              <w:top w:val="single" w:color="auto" w:sz="4" w:space="0"/>
              <w:left w:val="nil"/>
              <w:bottom w:val="single" w:color="auto" w:sz="4" w:space="0"/>
              <w:right w:val="single" w:color="auto" w:sz="4" w:space="0"/>
            </w:tcBorders>
            <w:noWrap w:val="0"/>
            <w:vAlign w:val="center"/>
          </w:tcPr>
          <w:p w14:paraId="29EF422E">
            <w:pPr>
              <w:widowControl/>
              <w:jc w:val="center"/>
              <w:textAlignment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kern w:val="0"/>
                <w:sz w:val="24"/>
                <w:szCs w:val="24"/>
                <w:lang w:bidi="ar"/>
              </w:rPr>
              <w:t>算法模型可靠性强，低误检，零漏检。打通MES、产线plc等系统接口。检测信息同步MES，实现质检结果可视化，</w:t>
            </w:r>
          </w:p>
        </w:tc>
        <w:tc>
          <w:tcPr>
            <w:tcW w:w="2695" w:type="dxa"/>
            <w:tcBorders>
              <w:top w:val="single" w:color="auto" w:sz="4" w:space="0"/>
              <w:left w:val="nil"/>
              <w:bottom w:val="single" w:color="auto" w:sz="4" w:space="0"/>
              <w:right w:val="single" w:color="auto" w:sz="4" w:space="0"/>
            </w:tcBorders>
            <w:noWrap w:val="0"/>
            <w:vAlign w:val="center"/>
          </w:tcPr>
          <w:p w14:paraId="7C312590">
            <w:pPr>
              <w:widowControl/>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50</w:t>
            </w:r>
            <w:r>
              <w:rPr>
                <w:rFonts w:hint="eastAsia" w:ascii="仿宋_GB2312" w:hAnsi="等线" w:eastAsia="仿宋_GB2312" w:cs="宋体"/>
                <w:color w:val="333333"/>
                <w:kern w:val="0"/>
                <w:sz w:val="24"/>
                <w:szCs w:val="24"/>
              </w:rPr>
              <w:t>万</w:t>
            </w:r>
            <w:r>
              <w:rPr>
                <w:rFonts w:hint="eastAsia" w:ascii="仿宋_GB2312" w:hAnsi="等线" w:eastAsia="仿宋_GB2312" w:cs="宋体"/>
                <w:color w:val="333333"/>
                <w:kern w:val="0"/>
                <w:sz w:val="24"/>
                <w:szCs w:val="24"/>
                <w:lang w:val="en-US" w:eastAsia="zh-CN"/>
              </w:rPr>
              <w:t>元</w:t>
            </w:r>
            <w:r>
              <w:rPr>
                <w:rFonts w:hint="eastAsia" w:ascii="仿宋_GB2312" w:hAnsi="仿宋_GB2312" w:eastAsia="仿宋_GB2312" w:cs="仿宋_GB2312"/>
                <w:sz w:val="24"/>
                <w:szCs w:val="24"/>
              </w:rPr>
              <w:t>-100</w:t>
            </w:r>
            <w:r>
              <w:rPr>
                <w:rFonts w:hint="eastAsia" w:ascii="仿宋_GB2312" w:hAnsi="等线" w:eastAsia="仿宋_GB2312" w:cs="宋体"/>
                <w:color w:val="333333"/>
                <w:kern w:val="0"/>
                <w:sz w:val="24"/>
                <w:szCs w:val="24"/>
              </w:rPr>
              <w:t>万</w:t>
            </w:r>
            <w:r>
              <w:rPr>
                <w:rFonts w:hint="eastAsia" w:ascii="仿宋_GB2312" w:hAnsi="等线" w:eastAsia="仿宋_GB2312" w:cs="宋体"/>
                <w:color w:val="333333"/>
                <w:kern w:val="0"/>
                <w:sz w:val="24"/>
                <w:szCs w:val="24"/>
                <w:lang w:val="en-US" w:eastAsia="zh-CN"/>
              </w:rPr>
              <w:t>元</w:t>
            </w:r>
            <w:r>
              <w:rPr>
                <w:rFonts w:hint="eastAsia" w:ascii="仿宋_GB2312" w:hAnsi="仿宋_GB2312" w:eastAsia="仿宋_GB2312" w:cs="仿宋_GB2312"/>
                <w:sz w:val="24"/>
                <w:szCs w:val="24"/>
              </w:rPr>
              <w:t>/套</w:t>
            </w:r>
          </w:p>
        </w:tc>
        <w:tc>
          <w:tcPr>
            <w:tcW w:w="989" w:type="dxa"/>
            <w:tcBorders>
              <w:top w:val="single" w:color="auto" w:sz="4" w:space="0"/>
              <w:left w:val="nil"/>
              <w:bottom w:val="single" w:color="auto" w:sz="4" w:space="0"/>
              <w:right w:val="single" w:color="auto" w:sz="4" w:space="0"/>
            </w:tcBorders>
            <w:noWrap w:val="0"/>
            <w:vAlign w:val="center"/>
          </w:tcPr>
          <w:p w14:paraId="066C8DE3">
            <w:pPr>
              <w:jc w:val="center"/>
              <w:rPr>
                <w:rFonts w:hint="eastAsia" w:ascii="仿宋_GB2312" w:hAnsi="仿宋_GB2312" w:eastAsia="仿宋_GB2312" w:cs="仿宋_GB2312"/>
                <w:b/>
                <w:bCs/>
                <w:kern w:val="0"/>
                <w:sz w:val="24"/>
                <w:szCs w:val="24"/>
              </w:rPr>
            </w:pPr>
          </w:p>
        </w:tc>
        <w:tc>
          <w:tcPr>
            <w:tcW w:w="1353" w:type="dxa"/>
            <w:tcBorders>
              <w:top w:val="single" w:color="auto" w:sz="4" w:space="0"/>
              <w:left w:val="nil"/>
              <w:bottom w:val="single" w:color="auto" w:sz="4" w:space="0"/>
              <w:right w:val="single" w:color="auto" w:sz="4" w:space="0"/>
            </w:tcBorders>
            <w:noWrap w:val="0"/>
            <w:vAlign w:val="center"/>
          </w:tcPr>
          <w:p w14:paraId="3911BF71">
            <w:pPr>
              <w:jc w:val="center"/>
              <w:rPr>
                <w:rFonts w:hint="eastAsia" w:ascii="仿宋_GB2312" w:hAnsi="仿宋_GB2312" w:eastAsia="仿宋_GB2312" w:cs="仿宋_GB2312"/>
                <w:b/>
                <w:bCs/>
                <w:kern w:val="0"/>
                <w:sz w:val="24"/>
                <w:szCs w:val="24"/>
              </w:rPr>
            </w:pPr>
          </w:p>
        </w:tc>
      </w:tr>
      <w:tr w14:paraId="78D4A142">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noWrap w:val="0"/>
            <w:vAlign w:val="center"/>
          </w:tcPr>
          <w:p w14:paraId="1F57F1F0">
            <w:pPr>
              <w:widowControl/>
              <w:jc w:val="center"/>
              <w:textAlignment w:val="center"/>
              <w:rPr>
                <w:rFonts w:hint="eastAsia" w:ascii="仿宋_GB2312" w:hAnsi="仿宋_GB2312" w:eastAsia="仿宋_GB2312" w:cs="仿宋_GB2312"/>
                <w:b/>
                <w:bCs/>
                <w:kern w:val="0"/>
                <w:sz w:val="24"/>
                <w:szCs w:val="24"/>
                <w:lang w:eastAsia="zh-CN"/>
              </w:rPr>
            </w:pPr>
            <w:r>
              <w:rPr>
                <w:rFonts w:hint="eastAsia" w:ascii="仿宋_GB2312" w:hAnsi="仿宋_GB2312" w:eastAsia="仿宋_GB2312" w:cs="仿宋_GB2312"/>
                <w:b/>
                <w:bCs/>
                <w:kern w:val="0"/>
                <w:sz w:val="24"/>
                <w:szCs w:val="24"/>
                <w:lang w:val="en-US" w:eastAsia="zh-CN"/>
              </w:rPr>
              <w:t>3</w:t>
            </w:r>
          </w:p>
        </w:tc>
        <w:tc>
          <w:tcPr>
            <w:tcW w:w="1511" w:type="dxa"/>
            <w:tcBorders>
              <w:top w:val="single" w:color="auto" w:sz="4" w:space="0"/>
              <w:left w:val="nil"/>
              <w:bottom w:val="single" w:color="auto" w:sz="4" w:space="0"/>
              <w:right w:val="single" w:color="auto" w:sz="4" w:space="0"/>
            </w:tcBorders>
            <w:noWrap w:val="0"/>
            <w:vAlign w:val="center"/>
          </w:tcPr>
          <w:p w14:paraId="1DA6521E">
            <w:pPr>
              <w:widowControl/>
              <w:jc w:val="center"/>
              <w:textAlignment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kern w:val="0"/>
                <w:sz w:val="24"/>
                <w:szCs w:val="24"/>
                <w:lang w:bidi="ar"/>
              </w:rPr>
              <w:t>工业能耗管理</w:t>
            </w:r>
          </w:p>
        </w:tc>
        <w:tc>
          <w:tcPr>
            <w:tcW w:w="2318" w:type="dxa"/>
            <w:tcBorders>
              <w:top w:val="single" w:color="auto" w:sz="4" w:space="0"/>
              <w:left w:val="nil"/>
              <w:bottom w:val="single" w:color="auto" w:sz="4" w:space="0"/>
              <w:right w:val="single" w:color="auto" w:sz="4" w:space="0"/>
            </w:tcBorders>
            <w:noWrap w:val="0"/>
            <w:vAlign w:val="center"/>
          </w:tcPr>
          <w:p w14:paraId="7EE7BEFB">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节能减排</w:t>
            </w:r>
          </w:p>
        </w:tc>
        <w:tc>
          <w:tcPr>
            <w:tcW w:w="4387" w:type="dxa"/>
            <w:tcBorders>
              <w:top w:val="single" w:color="auto" w:sz="4" w:space="0"/>
              <w:left w:val="nil"/>
              <w:bottom w:val="single" w:color="auto" w:sz="4" w:space="0"/>
              <w:right w:val="single" w:color="auto" w:sz="4" w:space="0"/>
            </w:tcBorders>
            <w:noWrap w:val="0"/>
            <w:vAlign w:val="center"/>
          </w:tcPr>
          <w:p w14:paraId="4AF12252">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降低企业用能成本</w:t>
            </w:r>
          </w:p>
          <w:p w14:paraId="097AE85E">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提高用能安全水平</w:t>
            </w:r>
          </w:p>
          <w:p w14:paraId="112CFB2B">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提高智能运维水平</w:t>
            </w:r>
          </w:p>
          <w:p w14:paraId="5981DB57">
            <w:pPr>
              <w:widowControl/>
              <w:jc w:val="center"/>
              <w:textAlignment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kern w:val="0"/>
                <w:sz w:val="24"/>
                <w:szCs w:val="24"/>
                <w:lang w:bidi="ar"/>
              </w:rPr>
              <w:t>全面提高节能降碳能力</w:t>
            </w:r>
          </w:p>
        </w:tc>
        <w:tc>
          <w:tcPr>
            <w:tcW w:w="2695" w:type="dxa"/>
            <w:tcBorders>
              <w:top w:val="single" w:color="auto" w:sz="4" w:space="0"/>
              <w:left w:val="nil"/>
              <w:bottom w:val="single" w:color="auto" w:sz="4" w:space="0"/>
              <w:right w:val="single" w:color="auto" w:sz="4" w:space="0"/>
            </w:tcBorders>
            <w:noWrap w:val="0"/>
            <w:vAlign w:val="center"/>
          </w:tcPr>
          <w:p w14:paraId="314662D6">
            <w:pPr>
              <w:widowControl/>
              <w:jc w:val="center"/>
              <w:textAlignment w:val="center"/>
              <w:rPr>
                <w:rFonts w:hint="eastAsia" w:ascii="仿宋_GB2312" w:hAnsi="仿宋_GB2312" w:eastAsia="仿宋_GB2312" w:cs="仿宋_GB2312"/>
                <w:sz w:val="24"/>
                <w:szCs w:val="24"/>
                <w:lang w:bidi="ar"/>
              </w:rPr>
            </w:pPr>
            <w:r>
              <w:rPr>
                <w:rFonts w:hint="eastAsia" w:ascii="仿宋_GB2312" w:hAnsi="仿宋_GB2312" w:eastAsia="仿宋_GB2312" w:cs="仿宋_GB2312"/>
                <w:sz w:val="24"/>
                <w:szCs w:val="24"/>
                <w:lang w:bidi="ar"/>
              </w:rPr>
              <w:t>云化部署：15</w:t>
            </w:r>
            <w:r>
              <w:rPr>
                <w:rFonts w:hint="eastAsia" w:ascii="仿宋_GB2312" w:hAnsi="等线" w:eastAsia="仿宋_GB2312" w:cs="宋体"/>
                <w:color w:val="333333"/>
                <w:kern w:val="0"/>
                <w:sz w:val="24"/>
                <w:szCs w:val="24"/>
              </w:rPr>
              <w:t>万</w:t>
            </w:r>
            <w:r>
              <w:rPr>
                <w:rFonts w:hint="eastAsia" w:ascii="仿宋_GB2312" w:hAnsi="等线" w:eastAsia="仿宋_GB2312" w:cs="宋体"/>
                <w:color w:val="333333"/>
                <w:kern w:val="0"/>
                <w:sz w:val="24"/>
                <w:szCs w:val="24"/>
                <w:lang w:val="en-US" w:eastAsia="zh-CN"/>
              </w:rPr>
              <w:t>元</w:t>
            </w:r>
            <w:r>
              <w:rPr>
                <w:rFonts w:hint="eastAsia" w:ascii="仿宋_GB2312" w:hAnsi="仿宋_GB2312" w:eastAsia="仿宋_GB2312" w:cs="仿宋_GB2312"/>
                <w:sz w:val="24"/>
                <w:szCs w:val="24"/>
                <w:lang w:bidi="ar"/>
              </w:rPr>
              <w:t>/年</w:t>
            </w:r>
          </w:p>
          <w:p w14:paraId="423C8D40">
            <w:pPr>
              <w:widowControl/>
              <w:jc w:val="center"/>
              <w:textAlignment w:val="center"/>
              <w:rPr>
                <w:rFonts w:hint="eastAsia" w:ascii="仿宋_GB2312" w:hAnsi="仿宋_GB2312" w:eastAsia="仿宋_GB2312" w:cs="仿宋_GB2312"/>
                <w:sz w:val="24"/>
                <w:szCs w:val="24"/>
                <w:lang w:bidi="ar"/>
              </w:rPr>
            </w:pPr>
            <w:r>
              <w:rPr>
                <w:rFonts w:hint="eastAsia" w:ascii="仿宋_GB2312" w:hAnsi="仿宋_GB2312" w:eastAsia="仿宋_GB2312" w:cs="仿宋_GB2312"/>
                <w:sz w:val="24"/>
                <w:szCs w:val="24"/>
                <w:lang w:bidi="ar"/>
              </w:rPr>
              <w:t>私有化部署：75</w:t>
            </w:r>
            <w:r>
              <w:rPr>
                <w:rFonts w:hint="eastAsia" w:ascii="仿宋_GB2312" w:hAnsi="等线" w:eastAsia="仿宋_GB2312" w:cs="宋体"/>
                <w:color w:val="333333"/>
                <w:kern w:val="0"/>
                <w:sz w:val="24"/>
                <w:szCs w:val="24"/>
              </w:rPr>
              <w:t>万</w:t>
            </w:r>
            <w:r>
              <w:rPr>
                <w:rFonts w:hint="eastAsia" w:ascii="仿宋_GB2312" w:hAnsi="等线" w:eastAsia="仿宋_GB2312" w:cs="宋体"/>
                <w:color w:val="333333"/>
                <w:kern w:val="0"/>
                <w:sz w:val="24"/>
                <w:szCs w:val="24"/>
                <w:lang w:val="en-US" w:eastAsia="zh-CN"/>
              </w:rPr>
              <w:t>元</w:t>
            </w:r>
          </w:p>
          <w:p w14:paraId="459CFCA2">
            <w:pPr>
              <w:widowControl/>
              <w:jc w:val="center"/>
              <w:textAlignment w:val="center"/>
              <w:rPr>
                <w:rFonts w:hint="eastAsia" w:ascii="仿宋_GB2312" w:hAnsi="仿宋_GB2312" w:eastAsia="仿宋_GB2312" w:cs="仿宋_GB2312"/>
                <w:sz w:val="24"/>
                <w:szCs w:val="24"/>
                <w:lang w:bidi="ar"/>
              </w:rPr>
            </w:pPr>
            <w:r>
              <w:rPr>
                <w:rFonts w:hint="eastAsia" w:ascii="仿宋_GB2312" w:hAnsi="仿宋_GB2312" w:eastAsia="仿宋_GB2312" w:cs="仿宋_GB2312"/>
                <w:sz w:val="24"/>
                <w:szCs w:val="24"/>
                <w:lang w:bidi="ar"/>
              </w:rPr>
              <w:t>实施部署及硬件费用按照实际情况评估</w:t>
            </w:r>
          </w:p>
        </w:tc>
        <w:tc>
          <w:tcPr>
            <w:tcW w:w="989" w:type="dxa"/>
            <w:tcBorders>
              <w:top w:val="single" w:color="auto" w:sz="4" w:space="0"/>
              <w:left w:val="nil"/>
              <w:bottom w:val="single" w:color="auto" w:sz="4" w:space="0"/>
              <w:right w:val="single" w:color="auto" w:sz="4" w:space="0"/>
            </w:tcBorders>
            <w:noWrap w:val="0"/>
            <w:vAlign w:val="center"/>
          </w:tcPr>
          <w:p w14:paraId="5B29A320">
            <w:pPr>
              <w:jc w:val="center"/>
              <w:rPr>
                <w:rFonts w:hint="eastAsia" w:ascii="仿宋_GB2312" w:hAnsi="仿宋_GB2312" w:eastAsia="仿宋_GB2312" w:cs="仿宋_GB2312"/>
                <w:b/>
                <w:bCs/>
                <w:kern w:val="0"/>
                <w:sz w:val="24"/>
                <w:szCs w:val="24"/>
              </w:rPr>
            </w:pPr>
          </w:p>
        </w:tc>
        <w:tc>
          <w:tcPr>
            <w:tcW w:w="1353" w:type="dxa"/>
            <w:tcBorders>
              <w:top w:val="single" w:color="auto" w:sz="4" w:space="0"/>
              <w:left w:val="nil"/>
              <w:bottom w:val="single" w:color="auto" w:sz="4" w:space="0"/>
              <w:right w:val="single" w:color="auto" w:sz="4" w:space="0"/>
            </w:tcBorders>
            <w:noWrap w:val="0"/>
            <w:vAlign w:val="center"/>
          </w:tcPr>
          <w:p w14:paraId="3299E009">
            <w:pPr>
              <w:jc w:val="center"/>
              <w:rPr>
                <w:rFonts w:hint="eastAsia" w:ascii="仿宋_GB2312" w:hAnsi="仿宋_GB2312" w:eastAsia="仿宋_GB2312" w:cs="仿宋_GB2312"/>
                <w:b/>
                <w:bCs/>
                <w:kern w:val="0"/>
                <w:sz w:val="24"/>
                <w:szCs w:val="24"/>
              </w:rPr>
            </w:pPr>
          </w:p>
        </w:tc>
      </w:tr>
      <w:tr w14:paraId="3D1F1B23">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noWrap w:val="0"/>
            <w:vAlign w:val="center"/>
          </w:tcPr>
          <w:p w14:paraId="5B6CFFA5">
            <w:pPr>
              <w:widowControl/>
              <w:jc w:val="center"/>
              <w:textAlignment w:val="center"/>
              <w:rPr>
                <w:rFonts w:hint="eastAsia" w:ascii="仿宋_GB2312" w:hAnsi="仿宋_GB2312" w:eastAsia="仿宋_GB2312" w:cs="仿宋_GB2312"/>
                <w:b/>
                <w:bCs/>
                <w:kern w:val="0"/>
                <w:sz w:val="24"/>
                <w:szCs w:val="24"/>
                <w:lang w:eastAsia="zh-CN"/>
              </w:rPr>
            </w:pPr>
            <w:r>
              <w:rPr>
                <w:rFonts w:hint="eastAsia" w:ascii="仿宋_GB2312" w:hAnsi="仿宋_GB2312" w:eastAsia="仿宋_GB2312" w:cs="仿宋_GB2312"/>
                <w:b/>
                <w:bCs/>
                <w:kern w:val="0"/>
                <w:sz w:val="24"/>
                <w:szCs w:val="24"/>
                <w:lang w:val="en-US" w:eastAsia="zh-CN"/>
              </w:rPr>
              <w:t>4</w:t>
            </w:r>
          </w:p>
        </w:tc>
        <w:tc>
          <w:tcPr>
            <w:tcW w:w="1511" w:type="dxa"/>
            <w:tcBorders>
              <w:top w:val="single" w:color="auto" w:sz="4" w:space="0"/>
              <w:left w:val="nil"/>
              <w:bottom w:val="single" w:color="auto" w:sz="4" w:space="0"/>
              <w:right w:val="single" w:color="auto" w:sz="4" w:space="0"/>
            </w:tcBorders>
            <w:noWrap w:val="0"/>
            <w:vAlign w:val="center"/>
          </w:tcPr>
          <w:p w14:paraId="5B413710">
            <w:pPr>
              <w:widowControl/>
              <w:jc w:val="center"/>
              <w:textAlignment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kern w:val="0"/>
                <w:sz w:val="24"/>
                <w:szCs w:val="24"/>
                <w:lang w:bidi="ar"/>
              </w:rPr>
              <w:t>工业标识解析应用</w:t>
            </w:r>
          </w:p>
        </w:tc>
        <w:tc>
          <w:tcPr>
            <w:tcW w:w="2318" w:type="dxa"/>
            <w:tcBorders>
              <w:top w:val="single" w:color="auto" w:sz="4" w:space="0"/>
              <w:left w:val="nil"/>
              <w:bottom w:val="single" w:color="auto" w:sz="4" w:space="0"/>
              <w:right w:val="single" w:color="auto" w:sz="4" w:space="0"/>
            </w:tcBorders>
            <w:noWrap w:val="0"/>
            <w:vAlign w:val="center"/>
          </w:tcPr>
          <w:p w14:paraId="72626A9A">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经营管理</w:t>
            </w:r>
          </w:p>
        </w:tc>
        <w:tc>
          <w:tcPr>
            <w:tcW w:w="4387" w:type="dxa"/>
            <w:tcBorders>
              <w:top w:val="single" w:color="auto" w:sz="4" w:space="0"/>
              <w:left w:val="nil"/>
              <w:bottom w:val="single" w:color="auto" w:sz="4" w:space="0"/>
              <w:right w:val="single" w:color="auto" w:sz="4" w:space="0"/>
            </w:tcBorders>
            <w:noWrap w:val="0"/>
            <w:vAlign w:val="center"/>
          </w:tcPr>
          <w:p w14:paraId="131F5E00">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产品赋码：企业生产一批产品后，通过配置产品信息，生产对应批次标识码，支持将标识码打印至对应产品</w:t>
            </w:r>
          </w:p>
          <w:p w14:paraId="141BA9BC">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防伪防窜：企业通过查看出厂产品被扫码位置，追踪产品流向，防范产品被窜货</w:t>
            </w:r>
          </w:p>
          <w:p w14:paraId="22C694B7">
            <w:pPr>
              <w:widowControl/>
              <w:jc w:val="center"/>
              <w:textAlignment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kern w:val="0"/>
                <w:sz w:val="24"/>
                <w:szCs w:val="24"/>
                <w:lang w:bidi="ar"/>
              </w:rPr>
              <w:t>标识智能管理：与企业硬件设备对接，实现一键赋码，减少操作流程</w:t>
            </w:r>
          </w:p>
        </w:tc>
        <w:tc>
          <w:tcPr>
            <w:tcW w:w="2695" w:type="dxa"/>
            <w:tcBorders>
              <w:top w:val="single" w:color="auto" w:sz="4" w:space="0"/>
              <w:left w:val="nil"/>
              <w:bottom w:val="single" w:color="auto" w:sz="4" w:space="0"/>
              <w:right w:val="single" w:color="auto" w:sz="4" w:space="0"/>
            </w:tcBorders>
            <w:noWrap w:val="0"/>
            <w:vAlign w:val="center"/>
          </w:tcPr>
          <w:p w14:paraId="1884504E">
            <w:pPr>
              <w:widowControl/>
              <w:jc w:val="center"/>
              <w:textAlignment w:val="center"/>
              <w:rPr>
                <w:rFonts w:hint="eastAsia" w:ascii="仿宋_GB2312" w:hAnsi="仿宋_GB2312" w:eastAsia="仿宋_GB2312" w:cs="仿宋_GB2312"/>
                <w:sz w:val="24"/>
                <w:szCs w:val="24"/>
                <w:lang w:bidi="ar"/>
              </w:rPr>
            </w:pPr>
            <w:r>
              <w:rPr>
                <w:rFonts w:hint="eastAsia" w:ascii="仿宋_GB2312" w:hAnsi="仿宋_GB2312" w:eastAsia="仿宋_GB2312" w:cs="仿宋_GB2312"/>
                <w:sz w:val="24"/>
                <w:szCs w:val="24"/>
                <w:lang w:bidi="ar"/>
              </w:rPr>
              <w:t>云化部署：</w:t>
            </w:r>
          </w:p>
          <w:p w14:paraId="29DC5B00">
            <w:pPr>
              <w:widowControl/>
              <w:jc w:val="center"/>
              <w:textAlignment w:val="center"/>
              <w:rPr>
                <w:rFonts w:hint="eastAsia" w:ascii="仿宋_GB2312" w:hAnsi="仿宋_GB2312" w:eastAsia="仿宋_GB2312" w:cs="仿宋_GB2312"/>
                <w:sz w:val="24"/>
                <w:szCs w:val="24"/>
                <w:lang w:bidi="ar"/>
              </w:rPr>
            </w:pPr>
            <w:r>
              <w:rPr>
                <w:rFonts w:hint="eastAsia" w:ascii="仿宋_GB2312" w:hAnsi="仿宋_GB2312" w:eastAsia="仿宋_GB2312" w:cs="仿宋_GB2312"/>
                <w:sz w:val="24"/>
                <w:szCs w:val="24"/>
                <w:lang w:bidi="ar"/>
              </w:rPr>
              <w:t>标识管理：0.48*N/年</w:t>
            </w:r>
          </w:p>
          <w:p w14:paraId="06647852">
            <w:pPr>
              <w:widowControl/>
              <w:jc w:val="center"/>
              <w:textAlignment w:val="center"/>
              <w:rPr>
                <w:rFonts w:hint="eastAsia" w:ascii="仿宋_GB2312" w:hAnsi="仿宋_GB2312" w:eastAsia="仿宋_GB2312" w:cs="仿宋_GB2312"/>
                <w:sz w:val="24"/>
                <w:szCs w:val="24"/>
                <w:lang w:bidi="ar"/>
              </w:rPr>
            </w:pPr>
            <w:r>
              <w:rPr>
                <w:rFonts w:hint="eastAsia" w:ascii="仿宋_GB2312" w:hAnsi="仿宋_GB2312" w:eastAsia="仿宋_GB2312" w:cs="仿宋_GB2312"/>
                <w:sz w:val="24"/>
                <w:szCs w:val="24"/>
                <w:lang w:bidi="ar"/>
              </w:rPr>
              <w:t>可信追溯：3.6*N/年</w:t>
            </w:r>
          </w:p>
          <w:p w14:paraId="161EF002">
            <w:pPr>
              <w:widowControl/>
              <w:jc w:val="center"/>
              <w:textAlignment w:val="center"/>
              <w:rPr>
                <w:rFonts w:hint="eastAsia" w:ascii="仿宋_GB2312" w:hAnsi="仿宋_GB2312" w:eastAsia="仿宋_GB2312" w:cs="仿宋_GB2312"/>
                <w:sz w:val="24"/>
                <w:szCs w:val="24"/>
                <w:lang w:bidi="ar"/>
              </w:rPr>
            </w:pPr>
            <w:r>
              <w:rPr>
                <w:rFonts w:hint="eastAsia" w:ascii="仿宋_GB2312" w:hAnsi="仿宋_GB2312" w:eastAsia="仿宋_GB2312" w:cs="仿宋_GB2312"/>
                <w:sz w:val="24"/>
                <w:szCs w:val="24"/>
                <w:lang w:bidi="ar"/>
              </w:rPr>
              <w:t>一物一码：1.2*N/年</w:t>
            </w:r>
          </w:p>
          <w:p w14:paraId="08D55AE3">
            <w:pPr>
              <w:widowControl/>
              <w:jc w:val="center"/>
              <w:textAlignment w:val="center"/>
              <w:rPr>
                <w:rFonts w:hint="eastAsia" w:ascii="仿宋_GB2312" w:hAnsi="仿宋_GB2312" w:eastAsia="仿宋_GB2312" w:cs="仿宋_GB2312"/>
                <w:sz w:val="24"/>
                <w:szCs w:val="24"/>
                <w:lang w:bidi="ar"/>
              </w:rPr>
            </w:pPr>
            <w:r>
              <w:rPr>
                <w:rFonts w:hint="eastAsia" w:ascii="仿宋_GB2312" w:hAnsi="仿宋_GB2312" w:eastAsia="仿宋_GB2312" w:cs="仿宋_GB2312"/>
                <w:sz w:val="24"/>
                <w:szCs w:val="24"/>
                <w:lang w:bidi="ar"/>
              </w:rPr>
              <w:t>私有化部署：</w:t>
            </w:r>
          </w:p>
          <w:p w14:paraId="4A953AE1">
            <w:pPr>
              <w:widowControl/>
              <w:jc w:val="center"/>
              <w:textAlignment w:val="center"/>
              <w:rPr>
                <w:rFonts w:hint="eastAsia" w:ascii="仿宋_GB2312" w:hAnsi="仿宋_GB2312" w:eastAsia="仿宋_GB2312" w:cs="仿宋_GB2312"/>
                <w:sz w:val="24"/>
                <w:szCs w:val="24"/>
                <w:lang w:bidi="ar"/>
              </w:rPr>
            </w:pPr>
            <w:r>
              <w:rPr>
                <w:rFonts w:hint="eastAsia" w:ascii="仿宋_GB2312" w:hAnsi="仿宋_GB2312" w:eastAsia="仿宋_GB2312" w:cs="仿宋_GB2312"/>
                <w:sz w:val="24"/>
                <w:szCs w:val="24"/>
                <w:lang w:bidi="ar"/>
              </w:rPr>
              <w:t>标识管理：8</w:t>
            </w:r>
            <w:r>
              <w:rPr>
                <w:rFonts w:hint="eastAsia" w:ascii="仿宋_GB2312" w:hAnsi="等线" w:eastAsia="仿宋_GB2312" w:cs="宋体"/>
                <w:color w:val="333333"/>
                <w:kern w:val="0"/>
                <w:sz w:val="24"/>
                <w:szCs w:val="24"/>
              </w:rPr>
              <w:t>万</w:t>
            </w:r>
            <w:r>
              <w:rPr>
                <w:rFonts w:hint="eastAsia" w:ascii="仿宋_GB2312" w:hAnsi="等线" w:eastAsia="仿宋_GB2312" w:cs="宋体"/>
                <w:color w:val="333333"/>
                <w:kern w:val="0"/>
                <w:sz w:val="24"/>
                <w:szCs w:val="24"/>
                <w:lang w:val="en-US" w:eastAsia="zh-CN"/>
              </w:rPr>
              <w:t>元</w:t>
            </w:r>
          </w:p>
          <w:p w14:paraId="594F07A2">
            <w:pPr>
              <w:widowControl/>
              <w:jc w:val="center"/>
              <w:textAlignment w:val="center"/>
              <w:rPr>
                <w:rFonts w:hint="eastAsia" w:ascii="仿宋_GB2312" w:hAnsi="仿宋_GB2312" w:eastAsia="仿宋_GB2312" w:cs="仿宋_GB2312"/>
                <w:sz w:val="24"/>
                <w:szCs w:val="24"/>
                <w:lang w:bidi="ar"/>
              </w:rPr>
            </w:pPr>
            <w:r>
              <w:rPr>
                <w:rFonts w:hint="eastAsia" w:ascii="仿宋_GB2312" w:hAnsi="仿宋_GB2312" w:eastAsia="仿宋_GB2312" w:cs="仿宋_GB2312"/>
                <w:sz w:val="24"/>
                <w:szCs w:val="24"/>
                <w:lang w:bidi="ar"/>
              </w:rPr>
              <w:t>可信追溯：40</w:t>
            </w:r>
            <w:r>
              <w:rPr>
                <w:rFonts w:hint="eastAsia" w:ascii="仿宋_GB2312" w:hAnsi="等线" w:eastAsia="仿宋_GB2312" w:cs="宋体"/>
                <w:color w:val="333333"/>
                <w:kern w:val="0"/>
                <w:sz w:val="24"/>
                <w:szCs w:val="24"/>
              </w:rPr>
              <w:t>万</w:t>
            </w:r>
            <w:r>
              <w:rPr>
                <w:rFonts w:hint="eastAsia" w:ascii="仿宋_GB2312" w:hAnsi="等线" w:eastAsia="仿宋_GB2312" w:cs="宋体"/>
                <w:color w:val="333333"/>
                <w:kern w:val="0"/>
                <w:sz w:val="24"/>
                <w:szCs w:val="24"/>
                <w:lang w:val="en-US" w:eastAsia="zh-CN"/>
              </w:rPr>
              <w:t>元</w:t>
            </w:r>
          </w:p>
          <w:p w14:paraId="25348974">
            <w:pPr>
              <w:widowControl/>
              <w:jc w:val="center"/>
              <w:textAlignment w:val="center"/>
              <w:rPr>
                <w:rFonts w:hint="eastAsia" w:ascii="仿宋_GB2312" w:hAnsi="仿宋_GB2312" w:eastAsia="仿宋_GB2312" w:cs="仿宋_GB2312"/>
                <w:sz w:val="24"/>
                <w:szCs w:val="24"/>
                <w:lang w:bidi="ar"/>
              </w:rPr>
            </w:pPr>
            <w:r>
              <w:rPr>
                <w:rFonts w:hint="eastAsia" w:ascii="仿宋_GB2312" w:hAnsi="仿宋_GB2312" w:eastAsia="仿宋_GB2312" w:cs="仿宋_GB2312"/>
                <w:sz w:val="24"/>
                <w:szCs w:val="24"/>
                <w:lang w:bidi="ar"/>
              </w:rPr>
              <w:t>一物一码：20</w:t>
            </w:r>
            <w:r>
              <w:rPr>
                <w:rFonts w:hint="eastAsia" w:ascii="仿宋_GB2312" w:hAnsi="等线" w:eastAsia="仿宋_GB2312" w:cs="宋体"/>
                <w:color w:val="333333"/>
                <w:kern w:val="0"/>
                <w:sz w:val="24"/>
                <w:szCs w:val="24"/>
              </w:rPr>
              <w:t>万</w:t>
            </w:r>
            <w:r>
              <w:rPr>
                <w:rFonts w:hint="eastAsia" w:ascii="仿宋_GB2312" w:hAnsi="等线" w:eastAsia="仿宋_GB2312" w:cs="宋体"/>
                <w:color w:val="333333"/>
                <w:kern w:val="0"/>
                <w:sz w:val="24"/>
                <w:szCs w:val="24"/>
                <w:lang w:val="en-US" w:eastAsia="zh-CN"/>
              </w:rPr>
              <w:t>元</w:t>
            </w:r>
          </w:p>
          <w:p w14:paraId="5295E297">
            <w:pPr>
              <w:widowControl/>
              <w:jc w:val="center"/>
              <w:textAlignment w:val="center"/>
              <w:rPr>
                <w:rFonts w:hint="eastAsia" w:ascii="仿宋_GB2312" w:hAnsi="仿宋_GB2312" w:eastAsia="仿宋_GB2312" w:cs="仿宋_GB2312"/>
                <w:sz w:val="24"/>
                <w:szCs w:val="24"/>
                <w:lang w:bidi="ar"/>
              </w:rPr>
            </w:pPr>
            <w:r>
              <w:rPr>
                <w:rFonts w:hint="eastAsia" w:ascii="仿宋_GB2312" w:hAnsi="仿宋_GB2312" w:eastAsia="仿宋_GB2312" w:cs="仿宋_GB2312"/>
                <w:sz w:val="24"/>
                <w:szCs w:val="24"/>
                <w:lang w:bidi="ar"/>
              </w:rPr>
              <w:t>工业标识二级节点：</w:t>
            </w:r>
          </w:p>
          <w:p w14:paraId="06C70B3F">
            <w:pPr>
              <w:widowControl/>
              <w:jc w:val="center"/>
              <w:textAlignment w:val="center"/>
              <w:rPr>
                <w:rFonts w:hint="eastAsia" w:ascii="仿宋_GB2312" w:hAnsi="仿宋_GB2312" w:eastAsia="仿宋_GB2312" w:cs="仿宋_GB2312"/>
                <w:sz w:val="24"/>
                <w:szCs w:val="24"/>
                <w:lang w:bidi="ar"/>
              </w:rPr>
            </w:pPr>
            <w:r>
              <w:rPr>
                <w:rFonts w:hint="eastAsia" w:ascii="仿宋_GB2312" w:hAnsi="仿宋_GB2312" w:eastAsia="仿宋_GB2312" w:cs="仿宋_GB2312"/>
                <w:sz w:val="24"/>
                <w:szCs w:val="24"/>
                <w:lang w:bidi="ar"/>
              </w:rPr>
              <w:t>二级节点建设：300</w:t>
            </w:r>
            <w:r>
              <w:rPr>
                <w:rFonts w:hint="eastAsia" w:ascii="仿宋_GB2312" w:hAnsi="等线" w:eastAsia="仿宋_GB2312" w:cs="宋体"/>
                <w:color w:val="333333"/>
                <w:kern w:val="0"/>
                <w:sz w:val="24"/>
                <w:szCs w:val="24"/>
              </w:rPr>
              <w:t>万</w:t>
            </w:r>
            <w:r>
              <w:rPr>
                <w:rFonts w:hint="eastAsia" w:ascii="仿宋_GB2312" w:hAnsi="等线" w:eastAsia="仿宋_GB2312" w:cs="宋体"/>
                <w:color w:val="333333"/>
                <w:kern w:val="0"/>
                <w:sz w:val="24"/>
                <w:szCs w:val="24"/>
                <w:lang w:val="en-US" w:eastAsia="zh-CN"/>
              </w:rPr>
              <w:t>元</w:t>
            </w:r>
            <w:r>
              <w:rPr>
                <w:rFonts w:hint="eastAsia" w:ascii="仿宋_GB2312" w:hAnsi="仿宋_GB2312" w:eastAsia="仿宋_GB2312" w:cs="仿宋_GB2312"/>
                <w:sz w:val="24"/>
                <w:szCs w:val="24"/>
                <w:lang w:bidi="ar"/>
              </w:rPr>
              <w:t>/套</w:t>
            </w:r>
          </w:p>
        </w:tc>
        <w:tc>
          <w:tcPr>
            <w:tcW w:w="989" w:type="dxa"/>
            <w:tcBorders>
              <w:top w:val="single" w:color="auto" w:sz="4" w:space="0"/>
              <w:left w:val="nil"/>
              <w:bottom w:val="single" w:color="auto" w:sz="4" w:space="0"/>
              <w:right w:val="single" w:color="auto" w:sz="4" w:space="0"/>
            </w:tcBorders>
            <w:noWrap w:val="0"/>
            <w:vAlign w:val="center"/>
          </w:tcPr>
          <w:p w14:paraId="4473275B">
            <w:pPr>
              <w:jc w:val="center"/>
              <w:rPr>
                <w:rFonts w:hint="eastAsia" w:ascii="仿宋_GB2312" w:hAnsi="仿宋_GB2312" w:eastAsia="仿宋_GB2312" w:cs="仿宋_GB2312"/>
                <w:b/>
                <w:bCs/>
                <w:kern w:val="0"/>
                <w:sz w:val="24"/>
                <w:szCs w:val="24"/>
              </w:rPr>
            </w:pPr>
          </w:p>
        </w:tc>
        <w:tc>
          <w:tcPr>
            <w:tcW w:w="1353" w:type="dxa"/>
            <w:tcBorders>
              <w:top w:val="single" w:color="auto" w:sz="4" w:space="0"/>
              <w:left w:val="nil"/>
              <w:bottom w:val="single" w:color="auto" w:sz="4" w:space="0"/>
              <w:right w:val="single" w:color="auto" w:sz="4" w:space="0"/>
            </w:tcBorders>
            <w:noWrap w:val="0"/>
            <w:vAlign w:val="center"/>
          </w:tcPr>
          <w:p w14:paraId="698034C6">
            <w:pPr>
              <w:jc w:val="center"/>
              <w:rPr>
                <w:rFonts w:hint="eastAsia" w:ascii="仿宋_GB2312" w:hAnsi="仿宋_GB2312" w:eastAsia="仿宋_GB2312" w:cs="仿宋_GB2312"/>
                <w:b/>
                <w:bCs/>
                <w:kern w:val="0"/>
                <w:sz w:val="24"/>
                <w:szCs w:val="24"/>
              </w:rPr>
            </w:pPr>
          </w:p>
        </w:tc>
      </w:tr>
      <w:tr w14:paraId="269553C6">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noWrap w:val="0"/>
            <w:vAlign w:val="center"/>
          </w:tcPr>
          <w:p w14:paraId="1D47601D">
            <w:pPr>
              <w:widowControl/>
              <w:jc w:val="center"/>
              <w:textAlignment w:val="center"/>
              <w:rPr>
                <w:rFonts w:hint="eastAsia" w:ascii="仿宋_GB2312" w:hAnsi="仿宋_GB2312" w:eastAsia="仿宋_GB2312" w:cs="仿宋_GB2312"/>
                <w:b/>
                <w:bCs/>
                <w:kern w:val="0"/>
                <w:sz w:val="24"/>
                <w:szCs w:val="24"/>
                <w:lang w:eastAsia="zh-CN"/>
              </w:rPr>
            </w:pPr>
            <w:r>
              <w:rPr>
                <w:rFonts w:hint="eastAsia" w:ascii="仿宋_GB2312" w:hAnsi="仿宋_GB2312" w:eastAsia="仿宋_GB2312" w:cs="仿宋_GB2312"/>
                <w:b/>
                <w:bCs/>
                <w:kern w:val="0"/>
                <w:sz w:val="24"/>
                <w:szCs w:val="24"/>
                <w:lang w:val="en-US" w:eastAsia="zh-CN"/>
              </w:rPr>
              <w:t>5</w:t>
            </w:r>
          </w:p>
        </w:tc>
        <w:tc>
          <w:tcPr>
            <w:tcW w:w="1511" w:type="dxa"/>
            <w:tcBorders>
              <w:top w:val="single" w:color="auto" w:sz="4" w:space="0"/>
              <w:left w:val="nil"/>
              <w:bottom w:val="single" w:color="auto" w:sz="4" w:space="0"/>
              <w:right w:val="single" w:color="auto" w:sz="4" w:space="0"/>
            </w:tcBorders>
            <w:noWrap w:val="0"/>
            <w:vAlign w:val="center"/>
          </w:tcPr>
          <w:p w14:paraId="13F912AD">
            <w:pPr>
              <w:widowControl/>
              <w:jc w:val="center"/>
              <w:textAlignment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kern w:val="0"/>
                <w:sz w:val="24"/>
                <w:szCs w:val="24"/>
                <w:lang w:bidi="ar"/>
              </w:rPr>
              <w:t>精准定位</w:t>
            </w:r>
          </w:p>
        </w:tc>
        <w:tc>
          <w:tcPr>
            <w:tcW w:w="2318" w:type="dxa"/>
            <w:tcBorders>
              <w:top w:val="single" w:color="auto" w:sz="4" w:space="0"/>
              <w:left w:val="nil"/>
              <w:bottom w:val="single" w:color="auto" w:sz="4" w:space="0"/>
              <w:right w:val="single" w:color="auto" w:sz="4" w:space="0"/>
            </w:tcBorders>
            <w:noWrap w:val="0"/>
            <w:vAlign w:val="center"/>
          </w:tcPr>
          <w:p w14:paraId="40F5BB18">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生产制造</w:t>
            </w:r>
          </w:p>
        </w:tc>
        <w:tc>
          <w:tcPr>
            <w:tcW w:w="4387" w:type="dxa"/>
            <w:tcBorders>
              <w:top w:val="single" w:color="auto" w:sz="4" w:space="0"/>
              <w:left w:val="nil"/>
              <w:bottom w:val="single" w:color="auto" w:sz="4" w:space="0"/>
              <w:right w:val="single" w:color="auto" w:sz="4" w:space="0"/>
            </w:tcBorders>
            <w:noWrap w:val="0"/>
            <w:vAlign w:val="center"/>
          </w:tcPr>
          <w:p w14:paraId="16488ABD">
            <w:pPr>
              <w:widowControl/>
              <w:jc w:val="center"/>
              <w:textAlignment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kern w:val="0"/>
                <w:sz w:val="24"/>
                <w:szCs w:val="24"/>
                <w:lang w:bidi="ar"/>
              </w:rPr>
              <w:t>精准定位产品依托中国移动自建全球最大的5G+北斗地面基准站网络以及自研的精准定位平台，提供高精度室内外融合定位的综合服务能力，为用户提供实时动态亚米级、厘米级和静态毫米级的高精度定位服务，同时可根据客户需求提供完整的端到端解决方案。</w:t>
            </w:r>
          </w:p>
        </w:tc>
        <w:tc>
          <w:tcPr>
            <w:tcW w:w="2695" w:type="dxa"/>
            <w:tcBorders>
              <w:top w:val="single" w:color="auto" w:sz="4" w:space="0"/>
              <w:left w:val="nil"/>
              <w:bottom w:val="single" w:color="auto" w:sz="4" w:space="0"/>
              <w:right w:val="single" w:color="auto" w:sz="4" w:space="0"/>
            </w:tcBorders>
            <w:noWrap w:val="0"/>
            <w:vAlign w:val="center"/>
          </w:tcPr>
          <w:p w14:paraId="5066B855">
            <w:pPr>
              <w:widowControl/>
              <w:jc w:val="center"/>
              <w:textAlignment w:val="center"/>
              <w:rPr>
                <w:rFonts w:hint="eastAsia" w:ascii="仿宋_GB2312" w:hAnsi="仿宋_GB2312" w:eastAsia="仿宋_GB2312" w:cs="仿宋_GB2312"/>
                <w:sz w:val="24"/>
                <w:szCs w:val="24"/>
                <w:lang w:bidi="ar"/>
              </w:rPr>
            </w:pPr>
          </w:p>
          <w:p w14:paraId="15B94F4F">
            <w:pPr>
              <w:widowControl/>
              <w:jc w:val="center"/>
              <w:textAlignment w:val="center"/>
              <w:rPr>
                <w:rFonts w:hint="eastAsia" w:ascii="仿宋_GB2312" w:hAnsi="仿宋_GB2312" w:eastAsia="仿宋_GB2312" w:cs="仿宋_GB2312"/>
                <w:sz w:val="24"/>
                <w:szCs w:val="24"/>
                <w:lang w:bidi="ar"/>
              </w:rPr>
            </w:pPr>
          </w:p>
          <w:p w14:paraId="1BA76EA9">
            <w:pPr>
              <w:widowControl/>
              <w:jc w:val="center"/>
              <w:textAlignment w:val="center"/>
              <w:rPr>
                <w:rFonts w:hint="eastAsia" w:ascii="仿宋_GB2312" w:hAnsi="仿宋_GB2312" w:eastAsia="仿宋_GB2312" w:cs="仿宋_GB2312"/>
                <w:sz w:val="24"/>
                <w:szCs w:val="24"/>
                <w:lang w:bidi="ar"/>
              </w:rPr>
            </w:pPr>
          </w:p>
          <w:p w14:paraId="46C478C4">
            <w:pPr>
              <w:widowControl/>
              <w:textAlignment w:val="center"/>
              <w:rPr>
                <w:rFonts w:hint="eastAsia" w:ascii="仿宋_GB2312" w:hAnsi="仿宋_GB2312" w:eastAsia="仿宋_GB2312" w:cs="仿宋_GB2312"/>
                <w:sz w:val="24"/>
                <w:szCs w:val="24"/>
                <w:lang w:bidi="ar"/>
              </w:rPr>
            </w:pPr>
            <w:r>
              <w:rPr>
                <w:rFonts w:hint="eastAsia" w:ascii="仿宋_GB2312" w:hAnsi="仿宋_GB2312" w:eastAsia="仿宋_GB2312" w:cs="仿宋_GB2312"/>
                <w:sz w:val="24"/>
                <w:szCs w:val="24"/>
                <w:lang w:bidi="ar"/>
              </w:rPr>
              <w:t>根据现场情况定价</w:t>
            </w:r>
          </w:p>
        </w:tc>
        <w:tc>
          <w:tcPr>
            <w:tcW w:w="989" w:type="dxa"/>
            <w:tcBorders>
              <w:top w:val="single" w:color="auto" w:sz="4" w:space="0"/>
              <w:left w:val="nil"/>
              <w:bottom w:val="single" w:color="auto" w:sz="4" w:space="0"/>
              <w:right w:val="single" w:color="auto" w:sz="4" w:space="0"/>
            </w:tcBorders>
            <w:noWrap w:val="0"/>
            <w:vAlign w:val="center"/>
          </w:tcPr>
          <w:p w14:paraId="46BB45F1">
            <w:pPr>
              <w:jc w:val="center"/>
              <w:rPr>
                <w:rFonts w:hint="eastAsia" w:ascii="仿宋_GB2312" w:hAnsi="仿宋_GB2312" w:eastAsia="仿宋_GB2312" w:cs="仿宋_GB2312"/>
                <w:b/>
                <w:bCs/>
                <w:kern w:val="0"/>
                <w:sz w:val="24"/>
                <w:szCs w:val="24"/>
              </w:rPr>
            </w:pPr>
          </w:p>
        </w:tc>
        <w:tc>
          <w:tcPr>
            <w:tcW w:w="1353" w:type="dxa"/>
            <w:tcBorders>
              <w:top w:val="single" w:color="auto" w:sz="4" w:space="0"/>
              <w:left w:val="nil"/>
              <w:bottom w:val="single" w:color="auto" w:sz="4" w:space="0"/>
              <w:right w:val="single" w:color="auto" w:sz="4" w:space="0"/>
            </w:tcBorders>
            <w:noWrap w:val="0"/>
            <w:vAlign w:val="center"/>
          </w:tcPr>
          <w:p w14:paraId="64275D39">
            <w:pPr>
              <w:jc w:val="center"/>
              <w:rPr>
                <w:rFonts w:hint="eastAsia" w:ascii="仿宋_GB2312" w:hAnsi="仿宋_GB2312" w:eastAsia="仿宋_GB2312" w:cs="仿宋_GB2312"/>
                <w:b/>
                <w:bCs/>
                <w:kern w:val="0"/>
                <w:sz w:val="24"/>
                <w:szCs w:val="24"/>
              </w:rPr>
            </w:pPr>
          </w:p>
        </w:tc>
      </w:tr>
    </w:tbl>
    <w:p w14:paraId="0BC34BD4">
      <w:pPr>
        <w:rPr>
          <w:rFonts w:ascii="仿宋_GB2312" w:hAnsi="仿宋_GB2312" w:eastAsia="仿宋_GB2312" w:cs="仿宋_GB2312"/>
          <w:b/>
          <w:bCs/>
          <w:sz w:val="32"/>
          <w:szCs w:val="32"/>
        </w:rPr>
      </w:pPr>
    </w:p>
    <w:p w14:paraId="45CF0A6B">
      <w:pPr>
        <w:rPr>
          <w:rFonts w:ascii="仿宋_GB2312" w:hAnsi="仿宋_GB2312" w:eastAsia="仿宋_GB2312" w:cs="仿宋_GB2312"/>
          <w:bCs/>
          <w:sz w:val="32"/>
          <w:szCs w:val="32"/>
        </w:rPr>
      </w:pPr>
    </w:p>
    <w:p w14:paraId="3625B0B3">
      <w:pPr>
        <w:rPr>
          <w:rFonts w:ascii="仿宋_GB2312" w:hAnsi="仿宋_GB2312" w:eastAsia="仿宋_GB2312" w:cs="仿宋_GB2312"/>
          <w:bCs/>
          <w:sz w:val="32"/>
          <w:szCs w:val="32"/>
        </w:rPr>
      </w:pPr>
    </w:p>
    <w:p w14:paraId="56CF6616">
      <w:pPr>
        <w:rPr>
          <w:rFonts w:ascii="仿宋_GB2312" w:hAnsi="仿宋_GB2312" w:eastAsia="仿宋_GB2312" w:cs="仿宋_GB2312"/>
          <w:bCs/>
          <w:sz w:val="32"/>
          <w:szCs w:val="32"/>
        </w:rPr>
        <w:sectPr>
          <w:pgSz w:w="16838" w:h="11906" w:orient="landscape"/>
          <w:pgMar w:top="1797" w:right="1440" w:bottom="1797" w:left="1440" w:header="851" w:footer="992" w:gutter="0"/>
          <w:cols w:space="720" w:num="1"/>
          <w:docGrid w:type="lines" w:linePitch="381" w:charSpace="0"/>
        </w:sectPr>
      </w:pPr>
    </w:p>
    <w:p w14:paraId="51D06B56">
      <w:pPr>
        <w:spacing w:line="560" w:lineRule="exact"/>
        <w:rPr>
          <w:rFonts w:hint="default" w:ascii="仿宋_GB2312" w:hAnsi="仿宋_GB2312" w:eastAsia="仿宋_GB2312" w:cs="仿宋_GB2312"/>
          <w:bCs/>
          <w:sz w:val="32"/>
          <w:szCs w:val="32"/>
          <w:lang w:val="en-US"/>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四</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联合体成员：金蝶软件（中国）有限公司佛山分公司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2133"/>
        <w:gridCol w:w="1353"/>
      </w:tblGrid>
      <w:tr w14:paraId="05DBFC6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noWrap w:val="0"/>
            <w:vAlign w:val="center"/>
          </w:tcPr>
          <w:p w14:paraId="45D3C01B">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noWrap w:val="0"/>
            <w:vAlign w:val="center"/>
          </w:tcPr>
          <w:p w14:paraId="72B2F7EB">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noWrap w:val="0"/>
            <w:vAlign w:val="center"/>
          </w:tcPr>
          <w:p w14:paraId="2F2B0A62">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noWrap w:val="0"/>
            <w:vAlign w:val="center"/>
          </w:tcPr>
          <w:p w14:paraId="192E11A9">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noWrap w:val="0"/>
            <w:vAlign w:val="center"/>
          </w:tcPr>
          <w:p w14:paraId="6A4D2D21">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133" w:type="dxa"/>
            <w:tcBorders>
              <w:top w:val="single" w:color="auto" w:sz="4" w:space="0"/>
              <w:left w:val="nil"/>
              <w:bottom w:val="single" w:color="auto" w:sz="4" w:space="0"/>
              <w:right w:val="single" w:color="auto" w:sz="4" w:space="0"/>
            </w:tcBorders>
            <w:noWrap w:val="0"/>
            <w:vAlign w:val="center"/>
          </w:tcPr>
          <w:p w14:paraId="5BC03B9D">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53" w:type="dxa"/>
            <w:tcBorders>
              <w:top w:val="single" w:color="auto" w:sz="4" w:space="0"/>
              <w:left w:val="nil"/>
              <w:bottom w:val="single" w:color="auto" w:sz="4" w:space="0"/>
              <w:right w:val="single" w:color="auto" w:sz="4" w:space="0"/>
            </w:tcBorders>
            <w:noWrap w:val="0"/>
            <w:vAlign w:val="center"/>
          </w:tcPr>
          <w:p w14:paraId="7B1FD308">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43061CCE">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69B1565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noWrap w:val="0"/>
            <w:vAlign w:val="center"/>
          </w:tcPr>
          <w:p w14:paraId="5BA8855E">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noWrap w:val="0"/>
            <w:vAlign w:val="center"/>
          </w:tcPr>
          <w:p w14:paraId="0E9F72EE">
            <w:pPr>
              <w:keepNext w:val="0"/>
              <w:keepLines w:val="0"/>
              <w:pageBreakBefore w:val="0"/>
              <w:widowControl/>
              <w:kinsoku/>
              <w:wordWrap/>
              <w:overflowPunct/>
              <w:topLinePunct w:val="0"/>
              <w:autoSpaceDE/>
              <w:autoSpaceDN/>
              <w:bidi w:val="0"/>
              <w:adjustRightInd/>
              <w:snapToGrid/>
              <w:jc w:val="center"/>
              <w:textAlignment w:val="auto"/>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lang w:val="en-US" w:eastAsia="zh-CN" w:bidi="ar-SA"/>
              </w:rPr>
              <w:t>金蝶云星空</w:t>
            </w:r>
          </w:p>
        </w:tc>
        <w:tc>
          <w:tcPr>
            <w:tcW w:w="2318" w:type="dxa"/>
            <w:tcBorders>
              <w:top w:val="single" w:color="auto" w:sz="4" w:space="0"/>
              <w:left w:val="nil"/>
              <w:bottom w:val="single" w:color="auto" w:sz="4" w:space="0"/>
              <w:right w:val="single" w:color="auto" w:sz="4" w:space="0"/>
            </w:tcBorders>
            <w:noWrap w:val="0"/>
            <w:vAlign w:val="center"/>
          </w:tcPr>
          <w:p w14:paraId="750192A9">
            <w:pPr>
              <w:keepNext w:val="0"/>
              <w:keepLines w:val="0"/>
              <w:pageBreakBefore w:val="0"/>
              <w:widowControl/>
              <w:kinsoku/>
              <w:wordWrap/>
              <w:overflowPunct/>
              <w:topLinePunct w:val="0"/>
              <w:autoSpaceDE/>
              <w:autoSpaceDN/>
              <w:bidi w:val="0"/>
              <w:adjustRightInd/>
              <w:snapToGrid/>
              <w:jc w:val="center"/>
              <w:textAlignment w:val="auto"/>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lang w:val="en-US" w:eastAsia="zh-CN" w:bidi="ar-SA"/>
              </w:rPr>
              <w:t>经营管理</w:t>
            </w:r>
          </w:p>
        </w:tc>
        <w:tc>
          <w:tcPr>
            <w:tcW w:w="4387" w:type="dxa"/>
            <w:tcBorders>
              <w:top w:val="single" w:color="auto" w:sz="4" w:space="0"/>
              <w:left w:val="nil"/>
              <w:bottom w:val="single" w:color="auto" w:sz="4" w:space="0"/>
              <w:right w:val="single" w:color="auto" w:sz="4" w:space="0"/>
            </w:tcBorders>
            <w:noWrap w:val="0"/>
            <w:vAlign w:val="center"/>
          </w:tcPr>
          <w:p w14:paraId="0F3C3A8A">
            <w:pPr>
              <w:keepNext w:val="0"/>
              <w:keepLines w:val="0"/>
              <w:pageBreakBefore w:val="0"/>
              <w:widowControl/>
              <w:kinsoku/>
              <w:wordWrap/>
              <w:overflowPunct/>
              <w:topLinePunct w:val="0"/>
              <w:autoSpaceDE/>
              <w:autoSpaceDN/>
              <w:bidi w:val="0"/>
              <w:adjustRightInd/>
              <w:snapToGrid/>
              <w:jc w:val="left"/>
              <w:textAlignment w:val="auto"/>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lang w:val="en-US" w:eastAsia="zh-CN" w:bidi="ar-SA"/>
              </w:rPr>
              <w:t>从销售接单，到生产计划、物料采购、仓库进出料管理、质量管理、财务与成本核算，使企业管理更加灵活的面对供需变动。掌握准确及时、完整信息的基础上，做出正确决策，采取准确管理的措施。</w:t>
            </w:r>
          </w:p>
        </w:tc>
        <w:tc>
          <w:tcPr>
            <w:tcW w:w="1551" w:type="dxa"/>
            <w:tcBorders>
              <w:top w:val="single" w:color="auto" w:sz="4" w:space="0"/>
              <w:left w:val="nil"/>
              <w:bottom w:val="single" w:color="auto" w:sz="4" w:space="0"/>
              <w:right w:val="single" w:color="auto" w:sz="4" w:space="0"/>
            </w:tcBorders>
            <w:noWrap w:val="0"/>
            <w:vAlign w:val="center"/>
          </w:tcPr>
          <w:p w14:paraId="65DA1C80">
            <w:pPr>
              <w:keepNext w:val="0"/>
              <w:keepLines w:val="0"/>
              <w:pageBreakBefore w:val="0"/>
              <w:widowControl/>
              <w:kinsoku/>
              <w:wordWrap/>
              <w:overflowPunct/>
              <w:topLinePunct w:val="0"/>
              <w:autoSpaceDE/>
              <w:autoSpaceDN/>
              <w:bidi w:val="0"/>
              <w:adjustRightInd/>
              <w:snapToGrid/>
              <w:jc w:val="center"/>
              <w:textAlignment w:val="auto"/>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lang w:val="en-US" w:eastAsia="zh-CN" w:bidi="ar-SA"/>
              </w:rPr>
              <w:t>5</w:t>
            </w:r>
            <w:r>
              <w:rPr>
                <w:rFonts w:hint="eastAsia" w:ascii="仿宋_GB2312" w:hAnsi="等线" w:eastAsia="仿宋_GB2312" w:cs="宋体"/>
                <w:color w:val="333333"/>
                <w:kern w:val="0"/>
                <w:sz w:val="24"/>
                <w:szCs w:val="24"/>
              </w:rPr>
              <w:t>万</w:t>
            </w:r>
            <w:r>
              <w:rPr>
                <w:rFonts w:hint="eastAsia" w:ascii="仿宋_GB2312" w:hAnsi="等线" w:eastAsia="仿宋_GB2312" w:cs="宋体"/>
                <w:color w:val="333333"/>
                <w:kern w:val="0"/>
                <w:sz w:val="24"/>
                <w:szCs w:val="24"/>
                <w:lang w:val="en-US" w:eastAsia="zh-CN"/>
              </w:rPr>
              <w:t>元</w:t>
            </w:r>
            <w:r>
              <w:rPr>
                <w:rFonts w:hint="eastAsia" w:ascii="仿宋_GB2312" w:hAnsi="等线" w:eastAsia="仿宋_GB2312" w:cs="宋体"/>
                <w:color w:val="333333"/>
                <w:kern w:val="0"/>
                <w:sz w:val="24"/>
                <w:szCs w:val="24"/>
                <w:lang w:val="en-US" w:eastAsia="zh-CN" w:bidi="ar-SA"/>
              </w:rPr>
              <w:t>-50</w:t>
            </w:r>
            <w:r>
              <w:rPr>
                <w:rFonts w:hint="eastAsia" w:ascii="仿宋_GB2312" w:hAnsi="等线" w:eastAsia="仿宋_GB2312" w:cs="宋体"/>
                <w:color w:val="333333"/>
                <w:kern w:val="0"/>
                <w:sz w:val="24"/>
                <w:szCs w:val="24"/>
              </w:rPr>
              <w:t>万</w:t>
            </w:r>
            <w:r>
              <w:rPr>
                <w:rFonts w:hint="eastAsia" w:ascii="仿宋_GB2312" w:hAnsi="等线" w:eastAsia="仿宋_GB2312" w:cs="宋体"/>
                <w:color w:val="333333"/>
                <w:kern w:val="0"/>
                <w:sz w:val="24"/>
                <w:szCs w:val="24"/>
                <w:lang w:val="en-US" w:eastAsia="zh-CN"/>
              </w:rPr>
              <w:t>元</w:t>
            </w:r>
          </w:p>
        </w:tc>
        <w:tc>
          <w:tcPr>
            <w:tcW w:w="2133" w:type="dxa"/>
            <w:tcBorders>
              <w:top w:val="single" w:color="auto" w:sz="4" w:space="0"/>
              <w:left w:val="nil"/>
              <w:bottom w:val="single" w:color="auto" w:sz="4" w:space="0"/>
              <w:right w:val="single" w:color="auto" w:sz="4" w:space="0"/>
            </w:tcBorders>
            <w:noWrap w:val="0"/>
            <w:vAlign w:val="center"/>
          </w:tcPr>
          <w:p w14:paraId="51146DB8">
            <w:pPr>
              <w:widowControl/>
              <w:jc w:val="center"/>
              <w:rPr>
                <w:rFonts w:hint="eastAsia" w:ascii="仿宋_GB2312" w:hAnsi="等线" w:eastAsia="仿宋_GB2312" w:cs="宋体"/>
                <w:color w:val="808080"/>
                <w:kern w:val="0"/>
                <w:sz w:val="24"/>
                <w:szCs w:val="24"/>
                <w:lang w:val="en-US" w:eastAsia="zh-Hans" w:bidi="ar-SA"/>
              </w:rPr>
            </w:pPr>
          </w:p>
        </w:tc>
        <w:tc>
          <w:tcPr>
            <w:tcW w:w="1353" w:type="dxa"/>
            <w:tcBorders>
              <w:top w:val="single" w:color="auto" w:sz="4" w:space="0"/>
              <w:left w:val="nil"/>
              <w:bottom w:val="single" w:color="auto" w:sz="4" w:space="0"/>
              <w:right w:val="single" w:color="auto" w:sz="4" w:space="0"/>
            </w:tcBorders>
            <w:noWrap w:val="0"/>
            <w:vAlign w:val="center"/>
          </w:tcPr>
          <w:p w14:paraId="03EB4C8C">
            <w:pPr>
              <w:widowControl/>
              <w:jc w:val="center"/>
              <w:rPr>
                <w:rFonts w:hint="eastAsia" w:ascii="仿宋_GB2312" w:hAnsi="等线" w:eastAsia="仿宋_GB2312" w:cs="宋体"/>
                <w:color w:val="808080"/>
                <w:kern w:val="0"/>
                <w:sz w:val="24"/>
                <w:szCs w:val="24"/>
                <w:lang w:val="en-US" w:eastAsia="zh-CN" w:bidi="ar-SA"/>
              </w:rPr>
            </w:pPr>
          </w:p>
        </w:tc>
      </w:tr>
      <w:tr w14:paraId="5A5FBF2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noWrap w:val="0"/>
            <w:vAlign w:val="center"/>
          </w:tcPr>
          <w:p w14:paraId="190E8B2F">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noWrap w:val="0"/>
            <w:vAlign w:val="center"/>
          </w:tcPr>
          <w:p w14:paraId="57C27E25">
            <w:pPr>
              <w:keepNext w:val="0"/>
              <w:keepLines w:val="0"/>
              <w:pageBreakBefore w:val="0"/>
              <w:widowControl/>
              <w:kinsoku/>
              <w:wordWrap/>
              <w:overflowPunct/>
              <w:topLinePunct w:val="0"/>
              <w:autoSpaceDE/>
              <w:autoSpaceDN/>
              <w:bidi w:val="0"/>
              <w:adjustRightInd/>
              <w:snapToGrid/>
              <w:jc w:val="center"/>
              <w:textAlignment w:val="auto"/>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lang w:val="en-US" w:eastAsia="zh-CN" w:bidi="ar-SA"/>
              </w:rPr>
              <w:t>金蝶云星辰</w:t>
            </w:r>
          </w:p>
        </w:tc>
        <w:tc>
          <w:tcPr>
            <w:tcW w:w="2318" w:type="dxa"/>
            <w:tcBorders>
              <w:top w:val="single" w:color="auto" w:sz="4" w:space="0"/>
              <w:left w:val="nil"/>
              <w:bottom w:val="single" w:color="auto" w:sz="4" w:space="0"/>
              <w:right w:val="single" w:color="auto" w:sz="4" w:space="0"/>
            </w:tcBorders>
            <w:noWrap w:val="0"/>
            <w:vAlign w:val="center"/>
          </w:tcPr>
          <w:p w14:paraId="5AA9AA77">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lang w:val="en-US" w:eastAsia="zh-CN" w:bidi="ar-SA"/>
              </w:rPr>
              <w:t>经营管理</w:t>
            </w:r>
          </w:p>
        </w:tc>
        <w:tc>
          <w:tcPr>
            <w:tcW w:w="4387" w:type="dxa"/>
            <w:tcBorders>
              <w:top w:val="single" w:color="auto" w:sz="4" w:space="0"/>
              <w:left w:val="nil"/>
              <w:bottom w:val="single" w:color="auto" w:sz="4" w:space="0"/>
              <w:right w:val="single" w:color="auto" w:sz="4" w:space="0"/>
            </w:tcBorders>
            <w:noWrap w:val="0"/>
            <w:vAlign w:val="center"/>
          </w:tcPr>
          <w:p w14:paraId="02C5C794">
            <w:pPr>
              <w:keepNext w:val="0"/>
              <w:keepLines w:val="0"/>
              <w:pageBreakBefore w:val="0"/>
              <w:widowControl/>
              <w:kinsoku/>
              <w:wordWrap/>
              <w:overflowPunct/>
              <w:topLinePunct w:val="0"/>
              <w:autoSpaceDE/>
              <w:autoSpaceDN/>
              <w:bidi w:val="0"/>
              <w:adjustRightInd/>
              <w:snapToGrid/>
              <w:jc w:val="left"/>
              <w:textAlignment w:val="auto"/>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lang w:val="en-US" w:eastAsia="zh-CN" w:bidi="ar-SA"/>
              </w:rPr>
              <w:t>面向小微企业财务进销存管理环节，数字化水平低，业务财务管理难，数据混乱问题，实现财务进销存、零售、订货商城一体化管理。</w:t>
            </w:r>
          </w:p>
          <w:p w14:paraId="6D130F3F">
            <w:pPr>
              <w:keepNext w:val="0"/>
              <w:keepLines w:val="0"/>
              <w:pageBreakBefore w:val="0"/>
              <w:widowControl/>
              <w:kinsoku/>
              <w:wordWrap/>
              <w:overflowPunct/>
              <w:topLinePunct w:val="0"/>
              <w:autoSpaceDE/>
              <w:autoSpaceDN/>
              <w:bidi w:val="0"/>
              <w:adjustRightInd/>
              <w:snapToGrid/>
              <w:jc w:val="left"/>
              <w:textAlignment w:val="auto"/>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lang w:val="en-US" w:eastAsia="zh-CN" w:bidi="ar-SA"/>
              </w:rPr>
              <w:t>聚焦小型企业在线经营和数字化管理，以“新财税、新营销、新平台”三大特性赋能企业，提供财务云、税务云、进销存云、订货商城等SaaS服务，支持小型企业拓客开源、智能管理、实时决策。</w:t>
            </w:r>
          </w:p>
        </w:tc>
        <w:tc>
          <w:tcPr>
            <w:tcW w:w="1551" w:type="dxa"/>
            <w:tcBorders>
              <w:top w:val="single" w:color="auto" w:sz="4" w:space="0"/>
              <w:left w:val="nil"/>
              <w:bottom w:val="single" w:color="auto" w:sz="4" w:space="0"/>
              <w:right w:val="single" w:color="auto" w:sz="4" w:space="0"/>
            </w:tcBorders>
            <w:noWrap w:val="0"/>
            <w:vAlign w:val="center"/>
          </w:tcPr>
          <w:p w14:paraId="331F6C0E">
            <w:pPr>
              <w:keepNext w:val="0"/>
              <w:keepLines w:val="0"/>
              <w:pageBreakBefore w:val="0"/>
              <w:widowControl/>
              <w:kinsoku/>
              <w:wordWrap/>
              <w:overflowPunct/>
              <w:topLinePunct w:val="0"/>
              <w:autoSpaceDE/>
              <w:autoSpaceDN/>
              <w:bidi w:val="0"/>
              <w:adjustRightInd/>
              <w:snapToGrid/>
              <w:jc w:val="center"/>
              <w:textAlignment w:val="auto"/>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lang w:val="en-US" w:eastAsia="zh-CN" w:bidi="ar-SA"/>
              </w:rPr>
              <w:t>0.5</w:t>
            </w:r>
            <w:r>
              <w:rPr>
                <w:rFonts w:hint="eastAsia" w:ascii="仿宋_GB2312" w:hAnsi="等线" w:eastAsia="仿宋_GB2312" w:cs="宋体"/>
                <w:color w:val="333333"/>
                <w:kern w:val="0"/>
                <w:sz w:val="24"/>
                <w:szCs w:val="24"/>
              </w:rPr>
              <w:t>万</w:t>
            </w:r>
            <w:r>
              <w:rPr>
                <w:rFonts w:hint="eastAsia" w:ascii="仿宋_GB2312" w:hAnsi="等线" w:eastAsia="仿宋_GB2312" w:cs="宋体"/>
                <w:color w:val="333333"/>
                <w:kern w:val="0"/>
                <w:sz w:val="24"/>
                <w:szCs w:val="24"/>
                <w:lang w:val="en-US" w:eastAsia="zh-CN"/>
              </w:rPr>
              <w:t>元</w:t>
            </w:r>
            <w:r>
              <w:rPr>
                <w:rFonts w:hint="eastAsia" w:ascii="仿宋_GB2312" w:hAnsi="等线" w:eastAsia="仿宋_GB2312" w:cs="宋体"/>
                <w:color w:val="000000"/>
                <w:kern w:val="0"/>
                <w:sz w:val="24"/>
                <w:szCs w:val="24"/>
                <w:lang w:val="en-US" w:eastAsia="zh-CN" w:bidi="ar-SA"/>
              </w:rPr>
              <w:t>-5</w:t>
            </w:r>
            <w:r>
              <w:rPr>
                <w:rFonts w:hint="eastAsia" w:ascii="仿宋_GB2312" w:hAnsi="等线" w:eastAsia="仿宋_GB2312" w:cs="宋体"/>
                <w:color w:val="333333"/>
                <w:kern w:val="0"/>
                <w:sz w:val="24"/>
                <w:szCs w:val="24"/>
              </w:rPr>
              <w:t>万</w:t>
            </w:r>
            <w:r>
              <w:rPr>
                <w:rFonts w:hint="eastAsia" w:ascii="仿宋_GB2312" w:hAnsi="等线" w:eastAsia="仿宋_GB2312" w:cs="宋体"/>
                <w:color w:val="333333"/>
                <w:kern w:val="0"/>
                <w:sz w:val="24"/>
                <w:szCs w:val="24"/>
                <w:lang w:val="en-US" w:eastAsia="zh-CN"/>
              </w:rPr>
              <w:t>元</w:t>
            </w:r>
          </w:p>
        </w:tc>
        <w:tc>
          <w:tcPr>
            <w:tcW w:w="2133" w:type="dxa"/>
            <w:tcBorders>
              <w:top w:val="single" w:color="auto" w:sz="4" w:space="0"/>
              <w:left w:val="nil"/>
              <w:bottom w:val="single" w:color="auto" w:sz="4" w:space="0"/>
              <w:right w:val="single" w:color="auto" w:sz="4" w:space="0"/>
            </w:tcBorders>
            <w:noWrap w:val="0"/>
            <w:vAlign w:val="center"/>
          </w:tcPr>
          <w:p w14:paraId="4CE1E350">
            <w:pPr>
              <w:keepNext w:val="0"/>
              <w:keepLines w:val="0"/>
              <w:pageBreakBefore w:val="0"/>
              <w:widowControl/>
              <w:kinsoku/>
              <w:wordWrap/>
              <w:overflowPunct/>
              <w:topLinePunct w:val="0"/>
              <w:autoSpaceDE/>
              <w:autoSpaceDN/>
              <w:bidi w:val="0"/>
              <w:adjustRightInd/>
              <w:snapToGrid/>
              <w:jc w:val="center"/>
              <w:textAlignment w:val="auto"/>
              <w:rPr>
                <w:rFonts w:hint="eastAsia" w:ascii="仿宋_GB2312" w:hAnsi="等线" w:eastAsia="仿宋_GB2312" w:cs="宋体"/>
                <w:color w:val="000000"/>
                <w:kern w:val="0"/>
                <w:sz w:val="24"/>
                <w:szCs w:val="24"/>
                <w:lang w:val="en-US" w:eastAsia="zh-CN" w:bidi="ar-SA"/>
              </w:rPr>
            </w:pPr>
          </w:p>
        </w:tc>
        <w:tc>
          <w:tcPr>
            <w:tcW w:w="1353" w:type="dxa"/>
            <w:tcBorders>
              <w:top w:val="single" w:color="auto" w:sz="4" w:space="0"/>
              <w:left w:val="nil"/>
              <w:bottom w:val="single" w:color="auto" w:sz="4" w:space="0"/>
              <w:right w:val="single" w:color="auto" w:sz="4" w:space="0"/>
            </w:tcBorders>
            <w:noWrap w:val="0"/>
            <w:vAlign w:val="center"/>
          </w:tcPr>
          <w:p w14:paraId="3021ACC0">
            <w:pPr>
              <w:keepNext w:val="0"/>
              <w:keepLines w:val="0"/>
              <w:pageBreakBefore w:val="0"/>
              <w:widowControl/>
              <w:kinsoku/>
              <w:wordWrap/>
              <w:overflowPunct/>
              <w:topLinePunct w:val="0"/>
              <w:autoSpaceDE/>
              <w:autoSpaceDN/>
              <w:bidi w:val="0"/>
              <w:adjustRightInd/>
              <w:snapToGrid/>
              <w:jc w:val="center"/>
              <w:textAlignment w:val="auto"/>
              <w:rPr>
                <w:rFonts w:hint="eastAsia" w:ascii="仿宋_GB2312" w:hAnsi="等线" w:eastAsia="仿宋_GB2312" w:cs="宋体"/>
                <w:color w:val="000000"/>
                <w:kern w:val="0"/>
                <w:sz w:val="24"/>
                <w:szCs w:val="24"/>
                <w:lang w:val="en-US" w:eastAsia="zh-CN" w:bidi="ar-SA"/>
              </w:rPr>
            </w:pPr>
          </w:p>
        </w:tc>
      </w:tr>
      <w:tr w14:paraId="33E63CC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noWrap w:val="0"/>
            <w:vAlign w:val="center"/>
          </w:tcPr>
          <w:p w14:paraId="53935934">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noWrap w:val="0"/>
            <w:vAlign w:val="center"/>
          </w:tcPr>
          <w:p w14:paraId="5BFFDDA6">
            <w:pPr>
              <w:keepNext w:val="0"/>
              <w:keepLines w:val="0"/>
              <w:pageBreakBefore w:val="0"/>
              <w:widowControl/>
              <w:kinsoku/>
              <w:wordWrap/>
              <w:overflowPunct/>
              <w:topLinePunct w:val="0"/>
              <w:autoSpaceDE/>
              <w:autoSpaceDN/>
              <w:bidi w:val="0"/>
              <w:adjustRightInd/>
              <w:snapToGrid/>
              <w:jc w:val="center"/>
              <w:textAlignment w:val="auto"/>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lang w:val="en-US" w:eastAsia="zh-CN" w:bidi="ar-SA"/>
              </w:rPr>
              <w:t>金蝶KIS云</w:t>
            </w:r>
          </w:p>
        </w:tc>
        <w:tc>
          <w:tcPr>
            <w:tcW w:w="2318" w:type="dxa"/>
            <w:tcBorders>
              <w:top w:val="single" w:color="auto" w:sz="4" w:space="0"/>
              <w:left w:val="nil"/>
              <w:bottom w:val="single" w:color="auto" w:sz="4" w:space="0"/>
              <w:right w:val="single" w:color="auto" w:sz="4" w:space="0"/>
            </w:tcBorders>
            <w:noWrap w:val="0"/>
            <w:vAlign w:val="center"/>
          </w:tcPr>
          <w:p w14:paraId="7A1DD692">
            <w:pPr>
              <w:widowControl/>
              <w:jc w:val="center"/>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lang w:val="en-US" w:eastAsia="zh-CN" w:bidi="ar-SA"/>
              </w:rPr>
              <w:t>经营管理</w:t>
            </w:r>
          </w:p>
        </w:tc>
        <w:tc>
          <w:tcPr>
            <w:tcW w:w="4387" w:type="dxa"/>
            <w:tcBorders>
              <w:top w:val="single" w:color="auto" w:sz="4" w:space="0"/>
              <w:left w:val="nil"/>
              <w:bottom w:val="single" w:color="auto" w:sz="4" w:space="0"/>
              <w:right w:val="single" w:color="auto" w:sz="4" w:space="0"/>
            </w:tcBorders>
            <w:noWrap w:val="0"/>
            <w:vAlign w:val="center"/>
          </w:tcPr>
          <w:p w14:paraId="152A0989">
            <w:pPr>
              <w:keepNext w:val="0"/>
              <w:keepLines w:val="0"/>
              <w:pageBreakBefore w:val="0"/>
              <w:widowControl/>
              <w:kinsoku/>
              <w:wordWrap/>
              <w:overflowPunct/>
              <w:topLinePunct w:val="0"/>
              <w:autoSpaceDE/>
              <w:autoSpaceDN/>
              <w:bidi w:val="0"/>
              <w:adjustRightInd/>
              <w:snapToGrid/>
              <w:jc w:val="left"/>
              <w:textAlignment w:val="auto"/>
              <w:rPr>
                <w:rFonts w:hint="eastAsia" w:ascii="仿宋_GB2312" w:hAnsi="等线" w:eastAsia="仿宋_GB2312" w:cs="宋体"/>
                <w:color w:val="333333"/>
                <w:kern w:val="0"/>
                <w:sz w:val="24"/>
                <w:szCs w:val="24"/>
                <w:lang w:val="en-US" w:eastAsia="zh-CN" w:bidi="ar-SA"/>
              </w:rPr>
            </w:pPr>
            <w:r>
              <w:rPr>
                <w:rFonts w:hint="eastAsia" w:ascii="仿宋_GB2312" w:hAnsi="等线" w:eastAsia="仿宋_GB2312" w:cs="宋体"/>
                <w:color w:val="333333"/>
                <w:kern w:val="0"/>
                <w:sz w:val="24"/>
                <w:szCs w:val="24"/>
                <w:lang w:val="en-US" w:eastAsia="zh-CN" w:bidi="ar-SA"/>
              </w:rPr>
              <w:t>实现采购管理、销售管理等为一体的管理，以成本管理为目标，计划与流程控制为主线，通过对成本目标及责任进行考核激励，推动管理者应用ERP等先进的管理模式和工具，为中小企业从云端提供完整的管理体系。</w:t>
            </w:r>
          </w:p>
        </w:tc>
        <w:tc>
          <w:tcPr>
            <w:tcW w:w="1551" w:type="dxa"/>
            <w:tcBorders>
              <w:top w:val="single" w:color="auto" w:sz="4" w:space="0"/>
              <w:left w:val="nil"/>
              <w:bottom w:val="single" w:color="auto" w:sz="4" w:space="0"/>
              <w:right w:val="single" w:color="auto" w:sz="4" w:space="0"/>
            </w:tcBorders>
            <w:noWrap w:val="0"/>
            <w:vAlign w:val="center"/>
          </w:tcPr>
          <w:p w14:paraId="18F32490">
            <w:pPr>
              <w:keepNext w:val="0"/>
              <w:keepLines w:val="0"/>
              <w:pageBreakBefore w:val="0"/>
              <w:widowControl/>
              <w:kinsoku/>
              <w:wordWrap/>
              <w:overflowPunct/>
              <w:topLinePunct w:val="0"/>
              <w:autoSpaceDE/>
              <w:autoSpaceDN/>
              <w:bidi w:val="0"/>
              <w:adjustRightInd/>
              <w:snapToGrid/>
              <w:jc w:val="center"/>
              <w:textAlignment w:val="auto"/>
              <w:rPr>
                <w:rFonts w:hint="eastAsia" w:ascii="仿宋_GB2312" w:hAnsi="等线" w:eastAsia="仿宋_GB2312" w:cs="宋体"/>
                <w:color w:val="000000"/>
                <w:kern w:val="0"/>
                <w:sz w:val="24"/>
                <w:szCs w:val="24"/>
                <w:lang w:val="en-US" w:eastAsia="zh-CN" w:bidi="ar-SA"/>
              </w:rPr>
            </w:pPr>
            <w:r>
              <w:rPr>
                <w:rFonts w:hint="eastAsia" w:ascii="仿宋_GB2312" w:hAnsi="等线" w:eastAsia="仿宋_GB2312" w:cs="宋体"/>
                <w:color w:val="000000"/>
                <w:kern w:val="0"/>
                <w:sz w:val="24"/>
                <w:szCs w:val="24"/>
                <w:lang w:val="en-US" w:eastAsia="zh-CN" w:bidi="ar-SA"/>
              </w:rPr>
              <w:t>0.5</w:t>
            </w:r>
            <w:r>
              <w:rPr>
                <w:rFonts w:hint="eastAsia" w:ascii="仿宋_GB2312" w:hAnsi="等线" w:eastAsia="仿宋_GB2312" w:cs="宋体"/>
                <w:color w:val="333333"/>
                <w:kern w:val="0"/>
                <w:sz w:val="24"/>
                <w:szCs w:val="24"/>
              </w:rPr>
              <w:t>万</w:t>
            </w:r>
            <w:r>
              <w:rPr>
                <w:rFonts w:hint="eastAsia" w:ascii="仿宋_GB2312" w:hAnsi="等线" w:eastAsia="仿宋_GB2312" w:cs="宋体"/>
                <w:color w:val="333333"/>
                <w:kern w:val="0"/>
                <w:sz w:val="24"/>
                <w:szCs w:val="24"/>
                <w:lang w:val="en-US" w:eastAsia="zh-CN"/>
              </w:rPr>
              <w:t>元</w:t>
            </w:r>
            <w:r>
              <w:rPr>
                <w:rFonts w:hint="eastAsia" w:ascii="仿宋_GB2312" w:hAnsi="等线" w:eastAsia="仿宋_GB2312" w:cs="宋体"/>
                <w:color w:val="000000"/>
                <w:kern w:val="0"/>
                <w:sz w:val="24"/>
                <w:szCs w:val="24"/>
                <w:lang w:val="en-US" w:eastAsia="zh-CN" w:bidi="ar-SA"/>
              </w:rPr>
              <w:t>-3</w:t>
            </w:r>
            <w:r>
              <w:rPr>
                <w:rFonts w:hint="eastAsia" w:ascii="仿宋_GB2312" w:hAnsi="等线" w:eastAsia="仿宋_GB2312" w:cs="宋体"/>
                <w:color w:val="333333"/>
                <w:kern w:val="0"/>
                <w:sz w:val="24"/>
                <w:szCs w:val="24"/>
              </w:rPr>
              <w:t>万</w:t>
            </w:r>
            <w:r>
              <w:rPr>
                <w:rFonts w:hint="eastAsia" w:ascii="仿宋_GB2312" w:hAnsi="等线" w:eastAsia="仿宋_GB2312" w:cs="宋体"/>
                <w:color w:val="333333"/>
                <w:kern w:val="0"/>
                <w:sz w:val="24"/>
                <w:szCs w:val="24"/>
                <w:lang w:val="en-US" w:eastAsia="zh-CN"/>
              </w:rPr>
              <w:t>元</w:t>
            </w:r>
          </w:p>
        </w:tc>
        <w:tc>
          <w:tcPr>
            <w:tcW w:w="2133" w:type="dxa"/>
            <w:tcBorders>
              <w:top w:val="single" w:color="auto" w:sz="4" w:space="0"/>
              <w:left w:val="nil"/>
              <w:bottom w:val="single" w:color="auto" w:sz="4" w:space="0"/>
              <w:right w:val="single" w:color="auto" w:sz="4" w:space="0"/>
            </w:tcBorders>
            <w:noWrap w:val="0"/>
            <w:vAlign w:val="center"/>
          </w:tcPr>
          <w:p w14:paraId="049FA90D">
            <w:pPr>
              <w:keepNext w:val="0"/>
              <w:keepLines w:val="0"/>
              <w:pageBreakBefore w:val="0"/>
              <w:widowControl/>
              <w:kinsoku/>
              <w:wordWrap/>
              <w:overflowPunct/>
              <w:topLinePunct w:val="0"/>
              <w:autoSpaceDE/>
              <w:autoSpaceDN/>
              <w:bidi w:val="0"/>
              <w:adjustRightInd/>
              <w:snapToGrid/>
              <w:jc w:val="center"/>
              <w:textAlignment w:val="auto"/>
              <w:rPr>
                <w:rFonts w:hint="eastAsia" w:ascii="仿宋_GB2312" w:hAnsi="等线" w:eastAsia="仿宋_GB2312" w:cs="宋体"/>
                <w:color w:val="000000"/>
                <w:kern w:val="0"/>
                <w:sz w:val="24"/>
                <w:szCs w:val="24"/>
                <w:lang w:val="en-US" w:eastAsia="zh-CN" w:bidi="ar-SA"/>
              </w:rPr>
            </w:pPr>
          </w:p>
        </w:tc>
        <w:tc>
          <w:tcPr>
            <w:tcW w:w="1353" w:type="dxa"/>
            <w:tcBorders>
              <w:top w:val="single" w:color="auto" w:sz="4" w:space="0"/>
              <w:left w:val="nil"/>
              <w:bottom w:val="single" w:color="auto" w:sz="4" w:space="0"/>
              <w:right w:val="single" w:color="auto" w:sz="4" w:space="0"/>
            </w:tcBorders>
            <w:noWrap w:val="0"/>
            <w:vAlign w:val="center"/>
          </w:tcPr>
          <w:p w14:paraId="437AAFE1">
            <w:pPr>
              <w:keepNext w:val="0"/>
              <w:keepLines w:val="0"/>
              <w:pageBreakBefore w:val="0"/>
              <w:widowControl/>
              <w:kinsoku/>
              <w:wordWrap/>
              <w:overflowPunct/>
              <w:topLinePunct w:val="0"/>
              <w:autoSpaceDE/>
              <w:autoSpaceDN/>
              <w:bidi w:val="0"/>
              <w:adjustRightInd/>
              <w:snapToGrid/>
              <w:jc w:val="center"/>
              <w:textAlignment w:val="auto"/>
              <w:rPr>
                <w:rFonts w:hint="eastAsia" w:ascii="仿宋_GB2312" w:hAnsi="等线" w:eastAsia="仿宋_GB2312" w:cs="宋体"/>
                <w:color w:val="000000"/>
                <w:kern w:val="0"/>
                <w:sz w:val="24"/>
                <w:szCs w:val="24"/>
                <w:lang w:val="en-US" w:eastAsia="zh-CN" w:bidi="ar-SA"/>
              </w:rPr>
            </w:pPr>
          </w:p>
        </w:tc>
      </w:tr>
    </w:tbl>
    <w:p w14:paraId="1DE1B952">
      <w:pPr>
        <w:pStyle w:val="8"/>
        <w:sectPr>
          <w:pgSz w:w="16838" w:h="11906" w:orient="landscape"/>
          <w:pgMar w:top="1797" w:right="1440" w:bottom="1797" w:left="1440" w:header="851" w:footer="992" w:gutter="0"/>
          <w:cols w:space="720" w:num="1"/>
          <w:docGrid w:type="lines" w:linePitch="381" w:charSpace="0"/>
        </w:sectPr>
      </w:pPr>
    </w:p>
    <w:p w14:paraId="442054EF">
      <w:pPr>
        <w:numPr>
          <w:ilvl w:val="0"/>
          <w:numId w:val="2"/>
        </w:numPr>
        <w:spacing w:line="560" w:lineRule="exac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联合体成员：中国联合网络通信有限公司佛山市分公司</w:t>
      </w:r>
    </w:p>
    <w:tbl>
      <w:tblPr>
        <w:tblStyle w:val="1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1294"/>
        <w:gridCol w:w="2732"/>
        <w:gridCol w:w="4980"/>
        <w:gridCol w:w="2868"/>
        <w:gridCol w:w="710"/>
        <w:gridCol w:w="881"/>
      </w:tblGrid>
      <w:tr w14:paraId="19C85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596" w:type="dxa"/>
            <w:tcBorders>
              <w:tl2br w:val="nil"/>
              <w:tr2bl w:val="nil"/>
            </w:tcBorders>
            <w:noWrap w:val="0"/>
            <w:vAlign w:val="center"/>
          </w:tcPr>
          <w:p w14:paraId="73BF2239">
            <w:pPr>
              <w:widowControl/>
              <w:tabs>
                <w:tab w:val="left" w:pos="1120"/>
              </w:tabs>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294" w:type="dxa"/>
            <w:tcBorders>
              <w:tl2br w:val="nil"/>
              <w:tr2bl w:val="nil"/>
            </w:tcBorders>
            <w:noWrap w:val="0"/>
            <w:vAlign w:val="center"/>
          </w:tcPr>
          <w:p w14:paraId="17849174">
            <w:pPr>
              <w:widowControl/>
              <w:tabs>
                <w:tab w:val="left" w:pos="1120"/>
              </w:tabs>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732" w:type="dxa"/>
            <w:tcBorders>
              <w:tl2br w:val="nil"/>
              <w:tr2bl w:val="nil"/>
            </w:tcBorders>
            <w:noWrap w:val="0"/>
            <w:vAlign w:val="center"/>
          </w:tcPr>
          <w:p w14:paraId="5AF68E9B">
            <w:pPr>
              <w:widowControl/>
              <w:tabs>
                <w:tab w:val="left" w:pos="1120"/>
              </w:tabs>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980" w:type="dxa"/>
            <w:tcBorders>
              <w:tl2br w:val="nil"/>
              <w:tr2bl w:val="nil"/>
            </w:tcBorders>
            <w:noWrap w:val="0"/>
            <w:vAlign w:val="center"/>
          </w:tcPr>
          <w:p w14:paraId="2CCCC102">
            <w:pPr>
              <w:widowControl/>
              <w:tabs>
                <w:tab w:val="left" w:pos="1120"/>
              </w:tabs>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2868" w:type="dxa"/>
            <w:tcBorders>
              <w:tl2br w:val="nil"/>
              <w:tr2bl w:val="nil"/>
            </w:tcBorders>
            <w:noWrap w:val="0"/>
            <w:vAlign w:val="center"/>
          </w:tcPr>
          <w:p w14:paraId="33FFECDB">
            <w:pPr>
              <w:widowControl/>
              <w:tabs>
                <w:tab w:val="left" w:pos="1120"/>
              </w:tabs>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710" w:type="dxa"/>
            <w:tcBorders>
              <w:tl2br w:val="nil"/>
              <w:tr2bl w:val="nil"/>
            </w:tcBorders>
            <w:noWrap w:val="0"/>
            <w:vAlign w:val="center"/>
          </w:tcPr>
          <w:p w14:paraId="37E0DEA3">
            <w:pPr>
              <w:widowControl/>
              <w:tabs>
                <w:tab w:val="left" w:pos="1120"/>
              </w:tabs>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c>
          <w:tcPr>
            <w:tcW w:w="881" w:type="dxa"/>
            <w:tcBorders>
              <w:tl2br w:val="nil"/>
              <w:tr2bl w:val="nil"/>
            </w:tcBorders>
            <w:noWrap w:val="0"/>
            <w:vAlign w:val="center"/>
          </w:tcPr>
          <w:p w14:paraId="251E0EF0">
            <w:pPr>
              <w:widowControl/>
              <w:tabs>
                <w:tab w:val="left" w:pos="1120"/>
              </w:tabs>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是否</w:t>
            </w:r>
          </w:p>
          <w:p w14:paraId="3FDA6E81">
            <w:pPr>
              <w:widowControl/>
              <w:tabs>
                <w:tab w:val="left" w:pos="1120"/>
              </w:tabs>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新增/修订</w:t>
            </w:r>
          </w:p>
        </w:tc>
      </w:tr>
      <w:tr w14:paraId="2F08D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596" w:type="dxa"/>
            <w:tcBorders>
              <w:tl2br w:val="nil"/>
              <w:tr2bl w:val="nil"/>
            </w:tcBorders>
            <w:noWrap w:val="0"/>
            <w:vAlign w:val="center"/>
          </w:tcPr>
          <w:p w14:paraId="3221B50D">
            <w:pPr>
              <w:widowControl/>
              <w:tabs>
                <w:tab w:val="left" w:pos="1120"/>
              </w:tabs>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294" w:type="dxa"/>
            <w:tcBorders>
              <w:tl2br w:val="nil"/>
              <w:tr2bl w:val="nil"/>
            </w:tcBorders>
            <w:noWrap w:val="0"/>
            <w:vAlign w:val="center"/>
          </w:tcPr>
          <w:p w14:paraId="3C37FA10">
            <w:pPr>
              <w:keepNext w:val="0"/>
              <w:keepLines w:val="0"/>
              <w:widowControl/>
              <w:suppressLineNumbers w:val="0"/>
              <w:jc w:val="left"/>
              <w:textAlignment w:val="center"/>
              <w:rPr>
                <w:rFonts w:hint="eastAsia" w:ascii="仿宋_GB2312" w:hAnsi="仿宋_GB2312" w:eastAsia="仿宋_GB2312" w:cs="仿宋_GB2312"/>
                <w:kern w:val="0"/>
                <w:sz w:val="24"/>
                <w:szCs w:val="24"/>
                <w:lang w:bidi="ar"/>
              </w:rPr>
            </w:pPr>
            <w:r>
              <w:rPr>
                <w:rFonts w:hint="eastAsia" w:ascii="仿宋" w:hAnsi="仿宋" w:eastAsia="仿宋" w:cs="仿宋"/>
                <w:i w:val="0"/>
                <w:iCs w:val="0"/>
                <w:color w:val="000000"/>
                <w:kern w:val="0"/>
                <w:sz w:val="24"/>
                <w:szCs w:val="24"/>
                <w:u w:val="none"/>
                <w:lang w:val="en-US" w:eastAsia="zh-CN" w:bidi="ar"/>
              </w:rPr>
              <w:t>智造云</w:t>
            </w:r>
          </w:p>
        </w:tc>
        <w:tc>
          <w:tcPr>
            <w:tcW w:w="2732" w:type="dxa"/>
            <w:tcBorders>
              <w:tl2br w:val="nil"/>
              <w:tr2bl w:val="nil"/>
            </w:tcBorders>
            <w:noWrap w:val="0"/>
            <w:vAlign w:val="center"/>
          </w:tcPr>
          <w:p w14:paraId="058BE4A0">
            <w:pPr>
              <w:keepNext w:val="0"/>
              <w:keepLines w:val="0"/>
              <w:widowControl/>
              <w:suppressLineNumbers w:val="0"/>
              <w:jc w:val="left"/>
              <w:textAlignment w:val="center"/>
              <w:rPr>
                <w:rFonts w:hint="eastAsia" w:ascii="仿宋_GB2312" w:hAnsi="仿宋_GB2312" w:eastAsia="仿宋_GB2312" w:cs="仿宋_GB2312"/>
                <w:kern w:val="0"/>
                <w:sz w:val="24"/>
                <w:szCs w:val="24"/>
                <w:lang w:bidi="ar"/>
              </w:rPr>
            </w:pPr>
            <w:r>
              <w:rPr>
                <w:rFonts w:hint="eastAsia" w:ascii="仿宋" w:hAnsi="仿宋" w:eastAsia="仿宋" w:cs="仿宋"/>
                <w:i w:val="0"/>
                <w:iCs w:val="0"/>
                <w:color w:val="000000"/>
                <w:kern w:val="0"/>
                <w:sz w:val="24"/>
                <w:szCs w:val="24"/>
                <w:u w:val="none"/>
                <w:lang w:val="en-US" w:eastAsia="zh-CN" w:bidi="ar"/>
              </w:rPr>
              <w:t>为企业提供生产制造、供应链管理以及经营管理类等的MES/WMS/PLM/EAM/SRM/CRM/ERP等Saas应用场景</w:t>
            </w:r>
          </w:p>
        </w:tc>
        <w:tc>
          <w:tcPr>
            <w:tcW w:w="4980" w:type="dxa"/>
            <w:tcBorders>
              <w:tl2br w:val="nil"/>
              <w:tr2bl w:val="nil"/>
            </w:tcBorders>
            <w:noWrap w:val="0"/>
            <w:vAlign w:val="center"/>
          </w:tcPr>
          <w:p w14:paraId="58E4F62B">
            <w:pPr>
              <w:keepNext w:val="0"/>
              <w:keepLines w:val="0"/>
              <w:widowControl/>
              <w:suppressLineNumbers w:val="0"/>
              <w:jc w:val="left"/>
              <w:textAlignment w:val="center"/>
              <w:rPr>
                <w:rFonts w:hint="eastAsia" w:ascii="仿宋_GB2312" w:hAnsi="仿宋_GB2312" w:eastAsia="仿宋_GB2312" w:cs="仿宋_GB2312"/>
                <w:kern w:val="0"/>
                <w:sz w:val="24"/>
                <w:szCs w:val="24"/>
                <w:lang w:bidi="ar"/>
              </w:rPr>
            </w:pPr>
            <w:r>
              <w:rPr>
                <w:rFonts w:hint="eastAsia" w:ascii="仿宋" w:hAnsi="仿宋" w:eastAsia="仿宋" w:cs="仿宋"/>
                <w:i w:val="0"/>
                <w:iCs w:val="0"/>
                <w:color w:val="000000"/>
                <w:kern w:val="0"/>
                <w:sz w:val="24"/>
                <w:szCs w:val="24"/>
                <w:u w:val="none"/>
                <w:lang w:val="en-US" w:eastAsia="zh-CN" w:bidi="ar"/>
              </w:rPr>
              <w:t>智造云平台，聚焦产业集群内工业制造中小企业数字化转型升级共性需求。以智造云平台为核心，构建联通工业互联网SaaS应用合作生态圈，为企业提供SaaS应用产品，将各系统生产数据和业务横向打通；以云+大连接为基础，赋能制造企业，实现客户生产流、数据流、业务流的汇聚价值，助力企业向智能化转型，为企业上云提供一体化解决方案。</w:t>
            </w:r>
          </w:p>
        </w:tc>
        <w:tc>
          <w:tcPr>
            <w:tcW w:w="2868" w:type="dxa"/>
            <w:tcBorders>
              <w:tl2br w:val="nil"/>
              <w:tr2bl w:val="nil"/>
            </w:tcBorders>
            <w:noWrap w:val="0"/>
            <w:vAlign w:val="center"/>
          </w:tcPr>
          <w:p w14:paraId="366D0D6C">
            <w:pPr>
              <w:keepNext w:val="0"/>
              <w:keepLines w:val="0"/>
              <w:widowControl/>
              <w:suppressLineNumbers w:val="0"/>
              <w:jc w:val="left"/>
              <w:textAlignment w:val="center"/>
              <w:rPr>
                <w:rFonts w:hint="eastAsia" w:ascii="仿宋_GB2312" w:hAnsi="仿宋_GB2312" w:eastAsia="仿宋_GB2312" w:cs="仿宋_GB2312"/>
                <w:kern w:val="0"/>
                <w:sz w:val="24"/>
                <w:szCs w:val="24"/>
                <w:lang w:bidi="ar"/>
              </w:rPr>
            </w:pPr>
            <w:r>
              <w:rPr>
                <w:rFonts w:hint="eastAsia" w:ascii="仿宋" w:hAnsi="仿宋" w:eastAsia="仿宋" w:cs="仿宋"/>
                <w:i w:val="0"/>
                <w:iCs w:val="0"/>
                <w:color w:val="000000"/>
                <w:kern w:val="0"/>
                <w:sz w:val="24"/>
                <w:szCs w:val="24"/>
                <w:u w:val="none"/>
                <w:lang w:val="en-US" w:eastAsia="zh-CN" w:bidi="ar"/>
              </w:rPr>
              <w:t>2万元-200万元，具体结合云化部署或私有化部署，同时核算实施人天进行计算，2000元/人天。公有按需收取年费</w:t>
            </w:r>
          </w:p>
        </w:tc>
        <w:tc>
          <w:tcPr>
            <w:tcW w:w="710" w:type="dxa"/>
            <w:tcBorders>
              <w:tl2br w:val="nil"/>
              <w:tr2bl w:val="nil"/>
            </w:tcBorders>
            <w:noWrap w:val="0"/>
            <w:vAlign w:val="center"/>
          </w:tcPr>
          <w:p w14:paraId="400EDD95">
            <w:pPr>
              <w:widowControl/>
              <w:tabs>
                <w:tab w:val="left" w:pos="1120"/>
              </w:tabs>
              <w:textAlignment w:val="center"/>
              <w:rPr>
                <w:rFonts w:hint="eastAsia" w:ascii="仿宋_GB2312" w:hAnsi="仿宋_GB2312" w:eastAsia="仿宋_GB2312" w:cs="仿宋_GB2312"/>
                <w:kern w:val="0"/>
                <w:sz w:val="24"/>
                <w:szCs w:val="24"/>
              </w:rPr>
            </w:pPr>
          </w:p>
        </w:tc>
        <w:tc>
          <w:tcPr>
            <w:tcW w:w="881" w:type="dxa"/>
            <w:tcBorders>
              <w:tl2br w:val="nil"/>
              <w:tr2bl w:val="nil"/>
            </w:tcBorders>
            <w:noWrap w:val="0"/>
            <w:vAlign w:val="center"/>
          </w:tcPr>
          <w:p w14:paraId="1D4DA9C7">
            <w:pPr>
              <w:keepNext w:val="0"/>
              <w:keepLines w:val="0"/>
              <w:widowControl/>
              <w:suppressLineNumbers w:val="0"/>
              <w:jc w:val="left"/>
              <w:textAlignment w:val="center"/>
              <w:rPr>
                <w:rFonts w:hint="default" w:ascii="仿宋_GB2312" w:hAnsi="仿宋_GB2312" w:eastAsia="仿宋_GB2312" w:cs="仿宋_GB2312"/>
                <w:kern w:val="0"/>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新增</w:t>
            </w:r>
          </w:p>
        </w:tc>
      </w:tr>
      <w:tr w14:paraId="40A67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trPr>
        <w:tc>
          <w:tcPr>
            <w:tcW w:w="596" w:type="dxa"/>
            <w:tcBorders>
              <w:tl2br w:val="nil"/>
              <w:tr2bl w:val="nil"/>
            </w:tcBorders>
            <w:noWrap w:val="0"/>
            <w:vAlign w:val="center"/>
          </w:tcPr>
          <w:p w14:paraId="1A3CF4E3">
            <w:pPr>
              <w:widowControl/>
              <w:tabs>
                <w:tab w:val="left" w:pos="1120"/>
              </w:tabs>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294" w:type="dxa"/>
            <w:tcBorders>
              <w:tl2br w:val="nil"/>
              <w:tr2bl w:val="nil"/>
            </w:tcBorders>
            <w:noWrap w:val="0"/>
            <w:vAlign w:val="center"/>
          </w:tcPr>
          <w:p w14:paraId="2ED3A163">
            <w:pPr>
              <w:keepNext w:val="0"/>
              <w:keepLines w:val="0"/>
              <w:widowControl/>
              <w:suppressLineNumbers w:val="0"/>
              <w:jc w:val="left"/>
              <w:textAlignment w:val="center"/>
              <w:rPr>
                <w:rFonts w:hint="eastAsia" w:ascii="仿宋_GB2312" w:hAnsi="仿宋_GB2312" w:eastAsia="仿宋_GB2312" w:cs="仿宋_GB2312"/>
                <w:kern w:val="0"/>
                <w:sz w:val="24"/>
                <w:szCs w:val="24"/>
                <w:lang w:bidi="ar"/>
              </w:rPr>
            </w:pPr>
            <w:r>
              <w:rPr>
                <w:rFonts w:hint="eastAsia" w:ascii="仿宋" w:hAnsi="仿宋" w:eastAsia="仿宋" w:cs="仿宋"/>
                <w:i w:val="0"/>
                <w:iCs w:val="0"/>
                <w:color w:val="000000"/>
                <w:kern w:val="0"/>
                <w:sz w:val="24"/>
                <w:szCs w:val="24"/>
                <w:u w:val="none"/>
                <w:lang w:val="en-US" w:eastAsia="zh-CN" w:bidi="ar"/>
              </w:rPr>
              <w:t>智慧仓储产品</w:t>
            </w:r>
          </w:p>
        </w:tc>
        <w:tc>
          <w:tcPr>
            <w:tcW w:w="2732" w:type="dxa"/>
            <w:tcBorders>
              <w:tl2br w:val="nil"/>
              <w:tr2bl w:val="nil"/>
            </w:tcBorders>
            <w:noWrap w:val="0"/>
            <w:vAlign w:val="center"/>
          </w:tcPr>
          <w:p w14:paraId="398F5C08">
            <w:pPr>
              <w:keepNext w:val="0"/>
              <w:keepLines w:val="0"/>
              <w:widowControl/>
              <w:suppressLineNumbers w:val="0"/>
              <w:jc w:val="left"/>
              <w:textAlignment w:val="center"/>
              <w:rPr>
                <w:rFonts w:hint="eastAsia" w:ascii="仿宋_GB2312" w:hAnsi="仿宋_GB2312" w:eastAsia="仿宋_GB2312" w:cs="仿宋_GB2312"/>
                <w:kern w:val="0"/>
                <w:sz w:val="24"/>
                <w:szCs w:val="24"/>
                <w:lang w:bidi="ar"/>
              </w:rPr>
            </w:pPr>
            <w:r>
              <w:rPr>
                <w:rFonts w:hint="eastAsia" w:ascii="仿宋" w:hAnsi="仿宋" w:eastAsia="仿宋" w:cs="仿宋"/>
                <w:i w:val="0"/>
                <w:iCs w:val="0"/>
                <w:color w:val="000000"/>
                <w:kern w:val="0"/>
                <w:sz w:val="24"/>
                <w:szCs w:val="24"/>
                <w:u w:val="none"/>
                <w:lang w:val="en-US" w:eastAsia="zh-CN" w:bidi="ar"/>
              </w:rPr>
              <w:t>面向拥有中大型仓库客户的智慧仓储物流管理系统</w:t>
            </w:r>
          </w:p>
        </w:tc>
        <w:tc>
          <w:tcPr>
            <w:tcW w:w="4980" w:type="dxa"/>
            <w:tcBorders>
              <w:tl2br w:val="nil"/>
              <w:tr2bl w:val="nil"/>
            </w:tcBorders>
            <w:noWrap w:val="0"/>
            <w:vAlign w:val="center"/>
          </w:tcPr>
          <w:p w14:paraId="633279D3">
            <w:pPr>
              <w:keepNext w:val="0"/>
              <w:keepLines w:val="0"/>
              <w:widowControl/>
              <w:suppressLineNumbers w:val="0"/>
              <w:jc w:val="left"/>
              <w:textAlignment w:val="center"/>
              <w:rPr>
                <w:rFonts w:hint="eastAsia" w:ascii="仿宋_GB2312" w:hAnsi="仿宋_GB2312" w:eastAsia="仿宋_GB2312" w:cs="仿宋_GB2312"/>
                <w:kern w:val="0"/>
                <w:sz w:val="24"/>
                <w:szCs w:val="24"/>
                <w:lang w:bidi="ar"/>
              </w:rPr>
            </w:pPr>
            <w:r>
              <w:rPr>
                <w:rFonts w:hint="eastAsia" w:ascii="仿宋" w:hAnsi="仿宋" w:eastAsia="仿宋" w:cs="仿宋"/>
                <w:i w:val="0"/>
                <w:iCs w:val="0"/>
                <w:color w:val="000000"/>
                <w:kern w:val="0"/>
                <w:sz w:val="24"/>
                <w:szCs w:val="24"/>
                <w:u w:val="none"/>
                <w:lang w:val="en-US" w:eastAsia="zh-CN" w:bidi="ar"/>
              </w:rPr>
              <w:t>5G+AGV搬运服务、WMS仓储管理服务、TMS物流运输服务、5G+融合定位服务。</w:t>
            </w:r>
          </w:p>
        </w:tc>
        <w:tc>
          <w:tcPr>
            <w:tcW w:w="2868" w:type="dxa"/>
            <w:tcBorders>
              <w:tl2br w:val="nil"/>
              <w:tr2bl w:val="nil"/>
            </w:tcBorders>
            <w:noWrap w:val="0"/>
            <w:vAlign w:val="center"/>
          </w:tcPr>
          <w:p w14:paraId="42676912">
            <w:pPr>
              <w:keepNext w:val="0"/>
              <w:keepLines w:val="0"/>
              <w:widowControl/>
              <w:suppressLineNumbers w:val="0"/>
              <w:jc w:val="left"/>
              <w:textAlignment w:val="center"/>
              <w:rPr>
                <w:rFonts w:hint="eastAsia" w:ascii="仿宋_GB2312" w:hAnsi="仿宋_GB2312" w:eastAsia="仿宋_GB2312" w:cs="仿宋_GB2312"/>
                <w:kern w:val="0"/>
                <w:sz w:val="24"/>
                <w:szCs w:val="24"/>
                <w:lang w:bidi="ar"/>
              </w:rPr>
            </w:pPr>
            <w:r>
              <w:rPr>
                <w:rFonts w:hint="eastAsia" w:ascii="仿宋" w:hAnsi="仿宋" w:eastAsia="仿宋" w:cs="仿宋"/>
                <w:i w:val="0"/>
                <w:iCs w:val="0"/>
                <w:color w:val="000000"/>
                <w:kern w:val="0"/>
                <w:sz w:val="24"/>
                <w:szCs w:val="24"/>
                <w:u w:val="none"/>
                <w:lang w:val="en-US" w:eastAsia="zh-CN" w:bidi="ar"/>
              </w:rPr>
              <w:t>私有10万元-100万元；公有按需收取年费</w:t>
            </w:r>
          </w:p>
        </w:tc>
        <w:tc>
          <w:tcPr>
            <w:tcW w:w="710" w:type="dxa"/>
            <w:tcBorders>
              <w:tl2br w:val="nil"/>
              <w:tr2bl w:val="nil"/>
            </w:tcBorders>
            <w:noWrap w:val="0"/>
            <w:vAlign w:val="center"/>
          </w:tcPr>
          <w:p w14:paraId="56910A99">
            <w:pPr>
              <w:widowControl/>
              <w:tabs>
                <w:tab w:val="left" w:pos="1120"/>
              </w:tabs>
              <w:textAlignment w:val="center"/>
              <w:rPr>
                <w:rFonts w:hint="eastAsia" w:ascii="仿宋_GB2312" w:hAnsi="仿宋_GB2312" w:eastAsia="仿宋_GB2312" w:cs="仿宋_GB2312"/>
                <w:kern w:val="0"/>
                <w:sz w:val="24"/>
                <w:szCs w:val="24"/>
              </w:rPr>
            </w:pPr>
          </w:p>
        </w:tc>
        <w:tc>
          <w:tcPr>
            <w:tcW w:w="881" w:type="dxa"/>
            <w:tcBorders>
              <w:tl2br w:val="nil"/>
              <w:tr2bl w:val="nil"/>
            </w:tcBorders>
            <w:noWrap w:val="0"/>
            <w:vAlign w:val="center"/>
          </w:tcPr>
          <w:p w14:paraId="404B2449">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 w:hAnsi="仿宋" w:eastAsia="仿宋" w:cs="仿宋"/>
                <w:i w:val="0"/>
                <w:iCs w:val="0"/>
                <w:color w:val="000000"/>
                <w:kern w:val="0"/>
                <w:sz w:val="24"/>
                <w:szCs w:val="24"/>
                <w:u w:val="none"/>
                <w:lang w:val="en-US" w:eastAsia="zh-CN" w:bidi="ar"/>
              </w:rPr>
              <w:t>新增</w:t>
            </w:r>
          </w:p>
        </w:tc>
      </w:tr>
      <w:tr w14:paraId="1F726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2" w:hRule="atLeast"/>
        </w:trPr>
        <w:tc>
          <w:tcPr>
            <w:tcW w:w="596" w:type="dxa"/>
            <w:tcBorders>
              <w:tl2br w:val="nil"/>
              <w:tr2bl w:val="nil"/>
            </w:tcBorders>
            <w:noWrap w:val="0"/>
            <w:vAlign w:val="center"/>
          </w:tcPr>
          <w:p w14:paraId="7D186F09">
            <w:pPr>
              <w:widowControl/>
              <w:tabs>
                <w:tab w:val="left" w:pos="1120"/>
              </w:tabs>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294" w:type="dxa"/>
            <w:tcBorders>
              <w:tl2br w:val="nil"/>
              <w:tr2bl w:val="nil"/>
            </w:tcBorders>
            <w:noWrap w:val="0"/>
            <w:vAlign w:val="center"/>
          </w:tcPr>
          <w:p w14:paraId="50C17EB5">
            <w:pPr>
              <w:keepNext w:val="0"/>
              <w:keepLines w:val="0"/>
              <w:widowControl/>
              <w:suppressLineNumbers w:val="0"/>
              <w:jc w:val="left"/>
              <w:textAlignment w:val="center"/>
              <w:rPr>
                <w:rFonts w:hint="eastAsia" w:ascii="仿宋_GB2312" w:hAnsi="宋体" w:eastAsia="仿宋_GB2312" w:cs="仿宋_GB2312"/>
                <w:kern w:val="0"/>
                <w:sz w:val="22"/>
                <w:szCs w:val="22"/>
                <w:lang w:bidi="ar"/>
              </w:rPr>
            </w:pPr>
            <w:r>
              <w:rPr>
                <w:rFonts w:hint="eastAsia" w:ascii="仿宋" w:hAnsi="仿宋" w:eastAsia="仿宋" w:cs="仿宋"/>
                <w:i w:val="0"/>
                <w:iCs w:val="0"/>
                <w:color w:val="000000"/>
                <w:kern w:val="0"/>
                <w:sz w:val="24"/>
                <w:szCs w:val="24"/>
                <w:u w:val="none"/>
                <w:lang w:val="en-US" w:eastAsia="zh-CN" w:bidi="ar"/>
              </w:rPr>
              <w:t>设备服务运营平台</w:t>
            </w:r>
          </w:p>
        </w:tc>
        <w:tc>
          <w:tcPr>
            <w:tcW w:w="2732" w:type="dxa"/>
            <w:tcBorders>
              <w:tl2br w:val="nil"/>
              <w:tr2bl w:val="nil"/>
            </w:tcBorders>
            <w:noWrap w:val="0"/>
            <w:vAlign w:val="center"/>
          </w:tcPr>
          <w:p w14:paraId="60FD47F3">
            <w:pPr>
              <w:keepNext w:val="0"/>
              <w:keepLines w:val="0"/>
              <w:widowControl/>
              <w:suppressLineNumbers w:val="0"/>
              <w:jc w:val="left"/>
              <w:textAlignment w:val="center"/>
              <w:rPr>
                <w:rFonts w:hint="eastAsia" w:ascii="仿宋_GB2312" w:hAnsi="宋体" w:eastAsia="仿宋_GB2312" w:cs="仿宋_GB2312"/>
                <w:kern w:val="0"/>
                <w:sz w:val="22"/>
                <w:szCs w:val="22"/>
                <w:lang w:bidi="ar"/>
              </w:rPr>
            </w:pPr>
            <w:r>
              <w:rPr>
                <w:rFonts w:hint="eastAsia" w:ascii="仿宋" w:hAnsi="仿宋" w:eastAsia="仿宋" w:cs="仿宋"/>
                <w:i w:val="0"/>
                <w:iCs w:val="0"/>
                <w:color w:val="000000"/>
                <w:kern w:val="0"/>
                <w:sz w:val="24"/>
                <w:szCs w:val="24"/>
                <w:u w:val="none"/>
                <w:lang w:val="en-US" w:eastAsia="zh-CN" w:bidi="ar"/>
              </w:rPr>
              <w:t>面向中小企业等智能设备管理系统</w:t>
            </w:r>
          </w:p>
        </w:tc>
        <w:tc>
          <w:tcPr>
            <w:tcW w:w="4980" w:type="dxa"/>
            <w:tcBorders>
              <w:tl2br w:val="nil"/>
              <w:tr2bl w:val="nil"/>
            </w:tcBorders>
            <w:noWrap w:val="0"/>
            <w:vAlign w:val="center"/>
          </w:tcPr>
          <w:p w14:paraId="6D8BD341">
            <w:pPr>
              <w:keepNext w:val="0"/>
              <w:keepLines w:val="0"/>
              <w:widowControl/>
              <w:suppressLineNumbers w:val="0"/>
              <w:jc w:val="left"/>
              <w:textAlignment w:val="center"/>
              <w:rPr>
                <w:rFonts w:hint="eastAsia" w:ascii="仿宋_GB2312" w:hAnsi="宋体" w:eastAsia="仿宋_GB2312" w:cs="仿宋_GB2312"/>
                <w:kern w:val="0"/>
                <w:sz w:val="22"/>
                <w:szCs w:val="22"/>
                <w:lang w:bidi="ar"/>
              </w:rPr>
            </w:pPr>
            <w:r>
              <w:rPr>
                <w:rFonts w:hint="eastAsia" w:ascii="仿宋" w:hAnsi="仿宋" w:eastAsia="仿宋" w:cs="仿宋"/>
                <w:i w:val="0"/>
                <w:iCs w:val="0"/>
                <w:color w:val="000000"/>
                <w:kern w:val="0"/>
                <w:sz w:val="24"/>
                <w:szCs w:val="24"/>
                <w:u w:val="none"/>
                <w:lang w:val="en-US" w:eastAsia="zh-CN" w:bidi="ar"/>
              </w:rPr>
              <w:t>设备管理服务、基于物联技术的设备安全服务、设备AI质检服务、设备数据采集与分析服务、固定资产管理服务、智慧仓储管理服务、沃智盒组网服务、设备租赁服务。</w:t>
            </w:r>
          </w:p>
        </w:tc>
        <w:tc>
          <w:tcPr>
            <w:tcW w:w="2868" w:type="dxa"/>
            <w:tcBorders>
              <w:tl2br w:val="nil"/>
              <w:tr2bl w:val="nil"/>
            </w:tcBorders>
            <w:noWrap w:val="0"/>
            <w:vAlign w:val="center"/>
          </w:tcPr>
          <w:p w14:paraId="399E10FC">
            <w:pPr>
              <w:keepNext w:val="0"/>
              <w:keepLines w:val="0"/>
              <w:widowControl/>
              <w:suppressLineNumbers w:val="0"/>
              <w:jc w:val="left"/>
              <w:textAlignment w:val="center"/>
              <w:rPr>
                <w:rFonts w:hint="eastAsia" w:ascii="仿宋_GB2312" w:hAnsi="宋体" w:eastAsia="仿宋_GB2312" w:cs="仿宋_GB2312"/>
                <w:kern w:val="0"/>
                <w:sz w:val="22"/>
                <w:szCs w:val="22"/>
                <w:lang w:bidi="ar"/>
              </w:rPr>
            </w:pPr>
            <w:r>
              <w:rPr>
                <w:rFonts w:hint="eastAsia" w:ascii="仿宋" w:hAnsi="仿宋" w:eastAsia="仿宋" w:cs="仿宋"/>
                <w:i w:val="0"/>
                <w:iCs w:val="0"/>
                <w:color w:val="000000"/>
                <w:kern w:val="0"/>
                <w:sz w:val="24"/>
                <w:szCs w:val="24"/>
                <w:u w:val="none"/>
                <w:lang w:val="en-US" w:eastAsia="zh-CN" w:bidi="ar"/>
              </w:rPr>
              <w:t>私有5万元-100万元；公有按需收取年费</w:t>
            </w:r>
          </w:p>
        </w:tc>
        <w:tc>
          <w:tcPr>
            <w:tcW w:w="710" w:type="dxa"/>
            <w:tcBorders>
              <w:tl2br w:val="nil"/>
              <w:tr2bl w:val="nil"/>
            </w:tcBorders>
            <w:noWrap w:val="0"/>
            <w:vAlign w:val="center"/>
          </w:tcPr>
          <w:p w14:paraId="3159321A">
            <w:pPr>
              <w:widowControl/>
              <w:tabs>
                <w:tab w:val="left" w:pos="1120"/>
              </w:tabs>
              <w:textAlignment w:val="center"/>
              <w:rPr>
                <w:rFonts w:hint="eastAsia" w:ascii="仿宋_GB2312" w:hAnsi="仿宋_GB2312" w:eastAsia="仿宋_GB2312" w:cs="仿宋_GB2312"/>
                <w:kern w:val="0"/>
                <w:sz w:val="24"/>
                <w:szCs w:val="24"/>
              </w:rPr>
            </w:pPr>
          </w:p>
        </w:tc>
        <w:tc>
          <w:tcPr>
            <w:tcW w:w="881" w:type="dxa"/>
            <w:tcBorders>
              <w:tl2br w:val="nil"/>
              <w:tr2bl w:val="nil"/>
            </w:tcBorders>
            <w:noWrap w:val="0"/>
            <w:vAlign w:val="center"/>
          </w:tcPr>
          <w:p w14:paraId="28E2CE3F">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 w:hAnsi="仿宋" w:eastAsia="仿宋" w:cs="仿宋"/>
                <w:i w:val="0"/>
                <w:iCs w:val="0"/>
                <w:color w:val="000000"/>
                <w:kern w:val="0"/>
                <w:sz w:val="24"/>
                <w:szCs w:val="24"/>
                <w:u w:val="none"/>
                <w:lang w:val="en-US" w:eastAsia="zh-CN" w:bidi="ar"/>
              </w:rPr>
              <w:t>新增</w:t>
            </w:r>
          </w:p>
        </w:tc>
      </w:tr>
      <w:tr w14:paraId="334C3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atLeast"/>
        </w:trPr>
        <w:tc>
          <w:tcPr>
            <w:tcW w:w="596" w:type="dxa"/>
            <w:tcBorders>
              <w:tl2br w:val="nil"/>
              <w:tr2bl w:val="nil"/>
            </w:tcBorders>
            <w:noWrap w:val="0"/>
            <w:vAlign w:val="center"/>
          </w:tcPr>
          <w:p w14:paraId="2EE0D92F">
            <w:pPr>
              <w:widowControl/>
              <w:tabs>
                <w:tab w:val="left" w:pos="1120"/>
              </w:tabs>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294" w:type="dxa"/>
            <w:tcBorders>
              <w:tl2br w:val="nil"/>
              <w:tr2bl w:val="nil"/>
            </w:tcBorders>
            <w:noWrap w:val="0"/>
            <w:vAlign w:val="center"/>
          </w:tcPr>
          <w:p w14:paraId="1CB487F3">
            <w:pPr>
              <w:keepNext w:val="0"/>
              <w:keepLines w:val="0"/>
              <w:widowControl/>
              <w:suppressLineNumbers w:val="0"/>
              <w:jc w:val="left"/>
              <w:textAlignment w:val="center"/>
              <w:rPr>
                <w:rFonts w:hint="eastAsia" w:ascii="仿宋_GB2312" w:hAnsi="宋体" w:eastAsia="仿宋_GB2312" w:cs="仿宋_GB2312"/>
                <w:kern w:val="0"/>
                <w:sz w:val="22"/>
                <w:szCs w:val="22"/>
                <w:lang w:bidi="ar"/>
              </w:rPr>
            </w:pPr>
            <w:r>
              <w:rPr>
                <w:rFonts w:hint="eastAsia" w:ascii="仿宋" w:hAnsi="仿宋" w:eastAsia="仿宋" w:cs="仿宋"/>
                <w:i w:val="0"/>
                <w:iCs w:val="0"/>
                <w:color w:val="000000"/>
                <w:kern w:val="0"/>
                <w:sz w:val="24"/>
                <w:szCs w:val="24"/>
                <w:u w:val="none"/>
                <w:lang w:val="en-US" w:eastAsia="zh-CN" w:bidi="ar"/>
              </w:rPr>
              <w:t>天穹多云管理平台</w:t>
            </w:r>
          </w:p>
        </w:tc>
        <w:tc>
          <w:tcPr>
            <w:tcW w:w="2732" w:type="dxa"/>
            <w:tcBorders>
              <w:tl2br w:val="nil"/>
              <w:tr2bl w:val="nil"/>
            </w:tcBorders>
            <w:noWrap w:val="0"/>
            <w:vAlign w:val="center"/>
          </w:tcPr>
          <w:p w14:paraId="4474EA0C">
            <w:pPr>
              <w:keepNext w:val="0"/>
              <w:keepLines w:val="0"/>
              <w:widowControl/>
              <w:suppressLineNumbers w:val="0"/>
              <w:jc w:val="left"/>
              <w:textAlignment w:val="center"/>
              <w:rPr>
                <w:rFonts w:hint="eastAsia" w:ascii="仿宋_GB2312" w:hAnsi="宋体" w:eastAsia="仿宋_GB2312" w:cs="仿宋_GB2312"/>
                <w:kern w:val="0"/>
                <w:sz w:val="22"/>
                <w:szCs w:val="22"/>
                <w:lang w:bidi="ar"/>
              </w:rPr>
            </w:pPr>
            <w:r>
              <w:rPr>
                <w:rFonts w:hint="eastAsia" w:ascii="仿宋" w:hAnsi="仿宋" w:eastAsia="仿宋" w:cs="仿宋"/>
                <w:i w:val="0"/>
                <w:iCs w:val="0"/>
                <w:color w:val="000000"/>
                <w:kern w:val="0"/>
                <w:sz w:val="24"/>
                <w:szCs w:val="24"/>
                <w:u w:val="none"/>
                <w:lang w:val="en-US" w:eastAsia="zh-CN" w:bidi="ar"/>
              </w:rPr>
              <w:t>向混合云客户提供统一管理平台</w:t>
            </w:r>
          </w:p>
        </w:tc>
        <w:tc>
          <w:tcPr>
            <w:tcW w:w="4980" w:type="dxa"/>
            <w:tcBorders>
              <w:tl2br w:val="nil"/>
              <w:tr2bl w:val="nil"/>
            </w:tcBorders>
            <w:noWrap w:val="0"/>
            <w:vAlign w:val="center"/>
          </w:tcPr>
          <w:p w14:paraId="5663968D">
            <w:pPr>
              <w:keepNext w:val="0"/>
              <w:keepLines w:val="0"/>
              <w:widowControl/>
              <w:suppressLineNumbers w:val="0"/>
              <w:jc w:val="left"/>
              <w:textAlignment w:val="center"/>
              <w:rPr>
                <w:rFonts w:hint="eastAsia" w:ascii="仿宋_GB2312" w:hAnsi="宋体" w:eastAsia="仿宋_GB2312" w:cs="仿宋_GB2312"/>
                <w:kern w:val="0"/>
                <w:sz w:val="22"/>
                <w:szCs w:val="22"/>
                <w:lang w:bidi="ar"/>
              </w:rPr>
            </w:pPr>
            <w:r>
              <w:rPr>
                <w:rFonts w:hint="eastAsia" w:ascii="仿宋" w:hAnsi="仿宋" w:eastAsia="仿宋" w:cs="仿宋"/>
                <w:i w:val="0"/>
                <w:iCs w:val="0"/>
                <w:color w:val="000000"/>
                <w:kern w:val="0"/>
                <w:sz w:val="24"/>
                <w:szCs w:val="24"/>
                <w:u w:val="none"/>
                <w:lang w:val="en-US" w:eastAsia="zh-CN" w:bidi="ar"/>
              </w:rPr>
              <w:t>云网管理、多云纳管、云网融合、智能监控、智能运营、数据备份与系统容灾。</w:t>
            </w:r>
          </w:p>
        </w:tc>
        <w:tc>
          <w:tcPr>
            <w:tcW w:w="2868" w:type="dxa"/>
            <w:tcBorders>
              <w:tl2br w:val="nil"/>
              <w:tr2bl w:val="nil"/>
            </w:tcBorders>
            <w:noWrap w:val="0"/>
            <w:vAlign w:val="center"/>
          </w:tcPr>
          <w:p w14:paraId="20D97915">
            <w:pPr>
              <w:keepNext w:val="0"/>
              <w:keepLines w:val="0"/>
              <w:widowControl/>
              <w:suppressLineNumbers w:val="0"/>
              <w:jc w:val="left"/>
              <w:textAlignment w:val="center"/>
              <w:rPr>
                <w:rFonts w:hint="eastAsia" w:ascii="仿宋_GB2312" w:hAnsi="宋体" w:eastAsia="仿宋_GB2312" w:cs="仿宋_GB2312"/>
                <w:kern w:val="0"/>
                <w:sz w:val="22"/>
                <w:szCs w:val="22"/>
                <w:lang w:bidi="ar"/>
              </w:rPr>
            </w:pPr>
            <w:r>
              <w:rPr>
                <w:rFonts w:hint="eastAsia" w:ascii="仿宋" w:hAnsi="仿宋" w:eastAsia="仿宋" w:cs="仿宋"/>
                <w:i w:val="0"/>
                <w:iCs w:val="0"/>
                <w:color w:val="000000"/>
                <w:kern w:val="0"/>
                <w:sz w:val="24"/>
                <w:szCs w:val="24"/>
                <w:u w:val="none"/>
                <w:lang w:val="en-US" w:eastAsia="zh-CN" w:bidi="ar"/>
              </w:rPr>
              <w:t>私有10万元-50万元；公有按需收取年费</w:t>
            </w:r>
          </w:p>
        </w:tc>
        <w:tc>
          <w:tcPr>
            <w:tcW w:w="710" w:type="dxa"/>
            <w:tcBorders>
              <w:tl2br w:val="nil"/>
              <w:tr2bl w:val="nil"/>
            </w:tcBorders>
            <w:noWrap w:val="0"/>
            <w:vAlign w:val="center"/>
          </w:tcPr>
          <w:p w14:paraId="051293C5">
            <w:pPr>
              <w:widowControl/>
              <w:tabs>
                <w:tab w:val="left" w:pos="1120"/>
              </w:tabs>
              <w:textAlignment w:val="center"/>
              <w:rPr>
                <w:rFonts w:hint="eastAsia" w:ascii="仿宋_GB2312" w:hAnsi="仿宋_GB2312" w:eastAsia="仿宋_GB2312" w:cs="仿宋_GB2312"/>
                <w:kern w:val="0"/>
                <w:sz w:val="24"/>
                <w:szCs w:val="24"/>
              </w:rPr>
            </w:pPr>
          </w:p>
        </w:tc>
        <w:tc>
          <w:tcPr>
            <w:tcW w:w="881" w:type="dxa"/>
            <w:tcBorders>
              <w:tl2br w:val="nil"/>
              <w:tr2bl w:val="nil"/>
            </w:tcBorders>
            <w:noWrap w:val="0"/>
            <w:vAlign w:val="center"/>
          </w:tcPr>
          <w:p w14:paraId="33EC9FB7">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 w:hAnsi="仿宋" w:eastAsia="仿宋" w:cs="仿宋"/>
                <w:i w:val="0"/>
                <w:iCs w:val="0"/>
                <w:color w:val="000000"/>
                <w:kern w:val="0"/>
                <w:sz w:val="24"/>
                <w:szCs w:val="24"/>
                <w:u w:val="none"/>
                <w:lang w:val="en-US" w:eastAsia="zh-CN" w:bidi="ar"/>
              </w:rPr>
              <w:t>新增</w:t>
            </w:r>
          </w:p>
        </w:tc>
      </w:tr>
      <w:tr w14:paraId="36647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3" w:hRule="atLeast"/>
        </w:trPr>
        <w:tc>
          <w:tcPr>
            <w:tcW w:w="596" w:type="dxa"/>
            <w:tcBorders>
              <w:tl2br w:val="nil"/>
              <w:tr2bl w:val="nil"/>
            </w:tcBorders>
            <w:noWrap w:val="0"/>
            <w:vAlign w:val="center"/>
          </w:tcPr>
          <w:p w14:paraId="6D65FE16">
            <w:pPr>
              <w:widowControl/>
              <w:tabs>
                <w:tab w:val="left" w:pos="1120"/>
              </w:tabs>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5</w:t>
            </w:r>
          </w:p>
        </w:tc>
        <w:tc>
          <w:tcPr>
            <w:tcW w:w="1294" w:type="dxa"/>
            <w:tcBorders>
              <w:tl2br w:val="nil"/>
              <w:tr2bl w:val="nil"/>
            </w:tcBorders>
            <w:noWrap w:val="0"/>
            <w:vAlign w:val="center"/>
          </w:tcPr>
          <w:p w14:paraId="11EF2496">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AI智能视觉平台</w:t>
            </w:r>
          </w:p>
        </w:tc>
        <w:tc>
          <w:tcPr>
            <w:tcW w:w="2732" w:type="dxa"/>
            <w:tcBorders>
              <w:tl2br w:val="nil"/>
              <w:tr2bl w:val="nil"/>
            </w:tcBorders>
            <w:noWrap w:val="0"/>
            <w:vAlign w:val="center"/>
          </w:tcPr>
          <w:p w14:paraId="72723EEC">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通过人工智能技术，有效完成人员合规作业和安全风险预防的实时监管</w:t>
            </w:r>
          </w:p>
        </w:tc>
        <w:tc>
          <w:tcPr>
            <w:tcW w:w="4980" w:type="dxa"/>
            <w:tcBorders>
              <w:tl2br w:val="nil"/>
              <w:tr2bl w:val="nil"/>
            </w:tcBorders>
            <w:noWrap w:val="0"/>
            <w:vAlign w:val="center"/>
          </w:tcPr>
          <w:p w14:paraId="0C8C4E33">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为企业提供一个集成化的解决方案，通过实时分析摄像头画面，叠加智能 AI 模型进行AI工业质检、动作合规检测、安防标准算法等智能分析。平台旨在提供智能化的告警和决策支持，以辅助行业客户进行安全、管理和监控任务。它可以应用于各种领域，如安防监控、交通管理、工业生产等，以提供更高效、更智能的监控和管理能力。</w:t>
            </w:r>
          </w:p>
        </w:tc>
        <w:tc>
          <w:tcPr>
            <w:tcW w:w="2868" w:type="dxa"/>
            <w:tcBorders>
              <w:tl2br w:val="nil"/>
              <w:tr2bl w:val="nil"/>
            </w:tcBorders>
            <w:noWrap w:val="0"/>
            <w:vAlign w:val="center"/>
          </w:tcPr>
          <w:p w14:paraId="1B5F544B">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30万元-100万元</w:t>
            </w:r>
          </w:p>
        </w:tc>
        <w:tc>
          <w:tcPr>
            <w:tcW w:w="710" w:type="dxa"/>
            <w:tcBorders>
              <w:tl2br w:val="nil"/>
              <w:tr2bl w:val="nil"/>
            </w:tcBorders>
            <w:noWrap w:val="0"/>
            <w:vAlign w:val="center"/>
          </w:tcPr>
          <w:p w14:paraId="7BB8A789">
            <w:pPr>
              <w:widowControl/>
              <w:tabs>
                <w:tab w:val="left" w:pos="1120"/>
              </w:tabs>
              <w:textAlignment w:val="center"/>
              <w:rPr>
                <w:rFonts w:hint="eastAsia" w:ascii="仿宋_GB2312" w:hAnsi="宋体" w:eastAsia="仿宋_GB2312" w:cs="仿宋_GB2312"/>
                <w:color w:val="000000"/>
                <w:kern w:val="0"/>
                <w:sz w:val="22"/>
                <w:szCs w:val="22"/>
                <w:lang w:bidi="ar"/>
              </w:rPr>
            </w:pPr>
          </w:p>
        </w:tc>
        <w:tc>
          <w:tcPr>
            <w:tcW w:w="881" w:type="dxa"/>
            <w:tcBorders>
              <w:tl2br w:val="nil"/>
              <w:tr2bl w:val="nil"/>
            </w:tcBorders>
            <w:noWrap w:val="0"/>
            <w:vAlign w:val="center"/>
          </w:tcPr>
          <w:p w14:paraId="3AE04AAE">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新增</w:t>
            </w:r>
          </w:p>
        </w:tc>
      </w:tr>
      <w:tr w14:paraId="708A1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6" w:hRule="atLeast"/>
        </w:trPr>
        <w:tc>
          <w:tcPr>
            <w:tcW w:w="596" w:type="dxa"/>
            <w:tcBorders>
              <w:tl2br w:val="nil"/>
              <w:tr2bl w:val="nil"/>
            </w:tcBorders>
            <w:noWrap w:val="0"/>
            <w:vAlign w:val="center"/>
          </w:tcPr>
          <w:p w14:paraId="4C8D97BB">
            <w:pPr>
              <w:widowControl/>
              <w:tabs>
                <w:tab w:val="left" w:pos="1120"/>
              </w:tabs>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6</w:t>
            </w:r>
          </w:p>
        </w:tc>
        <w:tc>
          <w:tcPr>
            <w:tcW w:w="1294" w:type="dxa"/>
            <w:tcBorders>
              <w:tl2br w:val="nil"/>
              <w:tr2bl w:val="nil"/>
            </w:tcBorders>
            <w:noWrap w:val="0"/>
            <w:vAlign w:val="center"/>
          </w:tcPr>
          <w:p w14:paraId="2AFAB5BA">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智慧监控平台</w:t>
            </w:r>
          </w:p>
        </w:tc>
        <w:tc>
          <w:tcPr>
            <w:tcW w:w="2732" w:type="dxa"/>
            <w:tcBorders>
              <w:tl2br w:val="nil"/>
              <w:tr2bl w:val="nil"/>
            </w:tcBorders>
            <w:noWrap w:val="0"/>
            <w:vAlign w:val="center"/>
          </w:tcPr>
          <w:p w14:paraId="6D82C506">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基于5G云网能力打造视频智联平台，为工业行业客户、企业提供高效、可控、易用的一站式视频服务</w:t>
            </w:r>
          </w:p>
        </w:tc>
        <w:tc>
          <w:tcPr>
            <w:tcW w:w="4980" w:type="dxa"/>
            <w:tcBorders>
              <w:tl2br w:val="nil"/>
              <w:tr2bl w:val="nil"/>
            </w:tcBorders>
            <w:noWrap w:val="0"/>
            <w:vAlign w:val="center"/>
          </w:tcPr>
          <w:p w14:paraId="63EF39B8">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视频监控：具备视频接入、视频编码、视频汇聚、视频存储、视频AI、视频安全态势感知、驾驶舱、手机客户端功能。</w:t>
            </w:r>
          </w:p>
        </w:tc>
        <w:tc>
          <w:tcPr>
            <w:tcW w:w="2868" w:type="dxa"/>
            <w:tcBorders>
              <w:tl2br w:val="nil"/>
              <w:tr2bl w:val="nil"/>
            </w:tcBorders>
            <w:noWrap w:val="0"/>
            <w:vAlign w:val="center"/>
          </w:tcPr>
          <w:p w14:paraId="0D119BE6">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私有10万元-100万元；公有按需收取年费</w:t>
            </w:r>
          </w:p>
        </w:tc>
        <w:tc>
          <w:tcPr>
            <w:tcW w:w="710" w:type="dxa"/>
            <w:tcBorders>
              <w:tl2br w:val="nil"/>
              <w:tr2bl w:val="nil"/>
            </w:tcBorders>
            <w:noWrap w:val="0"/>
            <w:vAlign w:val="center"/>
          </w:tcPr>
          <w:p w14:paraId="4F0E7734">
            <w:pPr>
              <w:widowControl/>
              <w:tabs>
                <w:tab w:val="left" w:pos="1120"/>
              </w:tabs>
              <w:textAlignment w:val="center"/>
              <w:rPr>
                <w:rFonts w:hint="eastAsia" w:ascii="仿宋_GB2312" w:hAnsi="宋体" w:eastAsia="仿宋_GB2312" w:cs="仿宋_GB2312"/>
                <w:color w:val="000000"/>
                <w:kern w:val="0"/>
                <w:sz w:val="22"/>
                <w:szCs w:val="22"/>
                <w:lang w:bidi="ar"/>
              </w:rPr>
            </w:pPr>
          </w:p>
        </w:tc>
        <w:tc>
          <w:tcPr>
            <w:tcW w:w="881" w:type="dxa"/>
            <w:tcBorders>
              <w:tl2br w:val="nil"/>
              <w:tr2bl w:val="nil"/>
            </w:tcBorders>
            <w:noWrap w:val="0"/>
            <w:vAlign w:val="center"/>
          </w:tcPr>
          <w:p w14:paraId="57B9497B">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新增</w:t>
            </w:r>
          </w:p>
        </w:tc>
      </w:tr>
      <w:tr w14:paraId="533C3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596" w:type="dxa"/>
            <w:tcBorders>
              <w:tl2br w:val="nil"/>
              <w:tr2bl w:val="nil"/>
            </w:tcBorders>
            <w:noWrap w:val="0"/>
            <w:vAlign w:val="center"/>
          </w:tcPr>
          <w:p w14:paraId="0FB3A176">
            <w:pPr>
              <w:widowControl/>
              <w:tabs>
                <w:tab w:val="left" w:pos="1120"/>
              </w:tabs>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7</w:t>
            </w:r>
          </w:p>
        </w:tc>
        <w:tc>
          <w:tcPr>
            <w:tcW w:w="1294" w:type="dxa"/>
            <w:tcBorders>
              <w:tl2br w:val="nil"/>
              <w:tr2bl w:val="nil"/>
            </w:tcBorders>
            <w:noWrap w:val="0"/>
            <w:vAlign w:val="center"/>
          </w:tcPr>
          <w:p w14:paraId="4F17D593">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DPAAS数据中台</w:t>
            </w:r>
          </w:p>
        </w:tc>
        <w:tc>
          <w:tcPr>
            <w:tcW w:w="2732" w:type="dxa"/>
            <w:tcBorders>
              <w:tl2br w:val="nil"/>
              <w:tr2bl w:val="nil"/>
            </w:tcBorders>
            <w:noWrap w:val="0"/>
            <w:vAlign w:val="center"/>
          </w:tcPr>
          <w:p w14:paraId="0C8B83AB">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全价值链环节数据互通,数据辅助决策，实现精细化运营</w:t>
            </w:r>
          </w:p>
        </w:tc>
        <w:tc>
          <w:tcPr>
            <w:tcW w:w="4980" w:type="dxa"/>
            <w:tcBorders>
              <w:tl2br w:val="nil"/>
              <w:tr2bl w:val="nil"/>
            </w:tcBorders>
            <w:noWrap w:val="0"/>
            <w:vAlign w:val="center"/>
          </w:tcPr>
          <w:p w14:paraId="59C7ECDC">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提供数据中台底座及可视化报表/BI、数据总线、数字孪生、数据仓库/数据湖/数据资产、产品全生命周期追溯等标准功能模块或定制化功能，帮助企业打通研发设计、生产制造、销售与服务等全价值链协同。</w:t>
            </w:r>
          </w:p>
        </w:tc>
        <w:tc>
          <w:tcPr>
            <w:tcW w:w="2868" w:type="dxa"/>
            <w:tcBorders>
              <w:tl2br w:val="nil"/>
              <w:tr2bl w:val="nil"/>
            </w:tcBorders>
            <w:noWrap w:val="0"/>
            <w:vAlign w:val="center"/>
          </w:tcPr>
          <w:p w14:paraId="206B8A89">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10万元-300万元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1.大数据平台底座：20万元/套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2.后台管理：10万元/套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3.BI报表平台：基本版10万元/套，标准版20万元/套，旗舰版54万元/套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4.数据服务：基本版8万元/套，标准版16万元/套，旗舰版24万元/套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5.其他功能、定制化需求、施工费用按需定制，3000元-4000元/人天。</w:t>
            </w:r>
          </w:p>
        </w:tc>
        <w:tc>
          <w:tcPr>
            <w:tcW w:w="710" w:type="dxa"/>
            <w:tcBorders>
              <w:tl2br w:val="nil"/>
              <w:tr2bl w:val="nil"/>
            </w:tcBorders>
            <w:noWrap w:val="0"/>
            <w:vAlign w:val="center"/>
          </w:tcPr>
          <w:p w14:paraId="486C5A50">
            <w:pPr>
              <w:widowControl/>
              <w:tabs>
                <w:tab w:val="left" w:pos="1120"/>
              </w:tabs>
              <w:textAlignment w:val="center"/>
              <w:rPr>
                <w:rFonts w:hint="eastAsia" w:ascii="仿宋_GB2312" w:hAnsi="宋体" w:eastAsia="仿宋_GB2312" w:cs="仿宋_GB2312"/>
                <w:color w:val="000000"/>
                <w:kern w:val="0"/>
                <w:sz w:val="22"/>
                <w:szCs w:val="22"/>
                <w:lang w:bidi="ar"/>
              </w:rPr>
            </w:pPr>
          </w:p>
        </w:tc>
        <w:tc>
          <w:tcPr>
            <w:tcW w:w="881" w:type="dxa"/>
            <w:tcBorders>
              <w:tl2br w:val="nil"/>
              <w:tr2bl w:val="nil"/>
            </w:tcBorders>
            <w:noWrap w:val="0"/>
            <w:vAlign w:val="center"/>
          </w:tcPr>
          <w:p w14:paraId="6B00A4EB">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新增</w:t>
            </w:r>
          </w:p>
        </w:tc>
      </w:tr>
      <w:tr w14:paraId="2BF32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596" w:type="dxa"/>
            <w:tcBorders>
              <w:tl2br w:val="nil"/>
              <w:tr2bl w:val="nil"/>
            </w:tcBorders>
            <w:noWrap w:val="0"/>
            <w:vAlign w:val="center"/>
          </w:tcPr>
          <w:p w14:paraId="76497F95">
            <w:pPr>
              <w:widowControl/>
              <w:tabs>
                <w:tab w:val="left" w:pos="1120"/>
              </w:tabs>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8</w:t>
            </w:r>
          </w:p>
        </w:tc>
        <w:tc>
          <w:tcPr>
            <w:tcW w:w="1294" w:type="dxa"/>
            <w:tcBorders>
              <w:tl2br w:val="nil"/>
              <w:tr2bl w:val="nil"/>
            </w:tcBorders>
            <w:noWrap w:val="0"/>
            <w:vAlign w:val="center"/>
          </w:tcPr>
          <w:p w14:paraId="31F5C122">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天玑安全平台</w:t>
            </w:r>
          </w:p>
        </w:tc>
        <w:tc>
          <w:tcPr>
            <w:tcW w:w="2732" w:type="dxa"/>
            <w:tcBorders>
              <w:tl2br w:val="nil"/>
              <w:tr2bl w:val="nil"/>
            </w:tcBorders>
            <w:noWrap w:val="0"/>
            <w:vAlign w:val="center"/>
          </w:tcPr>
          <w:p w14:paraId="345F9FC6">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多功能全面安全防护管理平台</w:t>
            </w:r>
          </w:p>
        </w:tc>
        <w:tc>
          <w:tcPr>
            <w:tcW w:w="4980" w:type="dxa"/>
            <w:tcBorders>
              <w:tl2br w:val="nil"/>
              <w:tr2bl w:val="nil"/>
            </w:tcBorders>
            <w:noWrap w:val="0"/>
            <w:vAlign w:val="center"/>
          </w:tcPr>
          <w:p w14:paraId="36614983">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线上等保、密评、安全态势感知、安全产品纳管、安全运维等一站式服务。</w:t>
            </w:r>
          </w:p>
        </w:tc>
        <w:tc>
          <w:tcPr>
            <w:tcW w:w="2868" w:type="dxa"/>
            <w:tcBorders>
              <w:tl2br w:val="nil"/>
              <w:tr2bl w:val="nil"/>
            </w:tcBorders>
            <w:noWrap w:val="0"/>
            <w:vAlign w:val="center"/>
          </w:tcPr>
          <w:p w14:paraId="32F7B4CB">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私有5万元-50万元；公有按需收取年费</w:t>
            </w:r>
          </w:p>
        </w:tc>
        <w:tc>
          <w:tcPr>
            <w:tcW w:w="710" w:type="dxa"/>
            <w:tcBorders>
              <w:tl2br w:val="nil"/>
              <w:tr2bl w:val="nil"/>
            </w:tcBorders>
            <w:noWrap w:val="0"/>
            <w:vAlign w:val="center"/>
          </w:tcPr>
          <w:p w14:paraId="32BCE082">
            <w:pPr>
              <w:widowControl/>
              <w:tabs>
                <w:tab w:val="left" w:pos="1120"/>
              </w:tabs>
              <w:textAlignment w:val="center"/>
              <w:rPr>
                <w:rFonts w:hint="eastAsia" w:ascii="仿宋_GB2312" w:hAnsi="宋体" w:eastAsia="仿宋_GB2312" w:cs="仿宋_GB2312"/>
                <w:color w:val="000000"/>
                <w:kern w:val="0"/>
                <w:sz w:val="22"/>
                <w:szCs w:val="22"/>
                <w:lang w:bidi="ar"/>
              </w:rPr>
            </w:pPr>
          </w:p>
        </w:tc>
        <w:tc>
          <w:tcPr>
            <w:tcW w:w="881" w:type="dxa"/>
            <w:tcBorders>
              <w:tl2br w:val="nil"/>
              <w:tr2bl w:val="nil"/>
            </w:tcBorders>
            <w:noWrap w:val="0"/>
            <w:vAlign w:val="center"/>
          </w:tcPr>
          <w:p w14:paraId="5BD67249">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新增</w:t>
            </w:r>
          </w:p>
        </w:tc>
      </w:tr>
      <w:tr w14:paraId="3A229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trPr>
        <w:tc>
          <w:tcPr>
            <w:tcW w:w="596" w:type="dxa"/>
            <w:tcBorders>
              <w:tl2br w:val="nil"/>
              <w:tr2bl w:val="nil"/>
            </w:tcBorders>
            <w:noWrap w:val="0"/>
            <w:vAlign w:val="center"/>
          </w:tcPr>
          <w:p w14:paraId="270B273C">
            <w:pPr>
              <w:widowControl/>
              <w:tabs>
                <w:tab w:val="left" w:pos="1120"/>
              </w:tabs>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9</w:t>
            </w:r>
          </w:p>
        </w:tc>
        <w:tc>
          <w:tcPr>
            <w:tcW w:w="1294" w:type="dxa"/>
            <w:tcBorders>
              <w:tl2br w:val="nil"/>
              <w:tr2bl w:val="nil"/>
            </w:tcBorders>
            <w:noWrap w:val="0"/>
            <w:vAlign w:val="center"/>
          </w:tcPr>
          <w:p w14:paraId="21FC4522">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联通专线无忧</w:t>
            </w:r>
          </w:p>
        </w:tc>
        <w:tc>
          <w:tcPr>
            <w:tcW w:w="2732" w:type="dxa"/>
            <w:tcBorders>
              <w:tl2br w:val="nil"/>
              <w:tr2bl w:val="nil"/>
            </w:tcBorders>
            <w:noWrap w:val="0"/>
            <w:vAlign w:val="center"/>
          </w:tcPr>
          <w:p w14:paraId="2034AEB0">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边界安全防护</w:t>
            </w:r>
          </w:p>
        </w:tc>
        <w:tc>
          <w:tcPr>
            <w:tcW w:w="4980" w:type="dxa"/>
            <w:tcBorders>
              <w:tl2br w:val="nil"/>
              <w:tr2bl w:val="nil"/>
            </w:tcBorders>
            <w:noWrap w:val="0"/>
            <w:vAlign w:val="center"/>
          </w:tcPr>
          <w:p w14:paraId="63613B3A">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等保二级、三级要求的防火墙、入侵防护、防病毒、WEB 应用防护、上网行为管理等能力、云端安全服务。</w:t>
            </w:r>
          </w:p>
        </w:tc>
        <w:tc>
          <w:tcPr>
            <w:tcW w:w="2868" w:type="dxa"/>
            <w:tcBorders>
              <w:tl2br w:val="nil"/>
              <w:tr2bl w:val="nil"/>
            </w:tcBorders>
            <w:noWrap w:val="0"/>
            <w:vAlign w:val="center"/>
          </w:tcPr>
          <w:p w14:paraId="43A32556">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5万元-30万元</w:t>
            </w:r>
          </w:p>
        </w:tc>
        <w:tc>
          <w:tcPr>
            <w:tcW w:w="710" w:type="dxa"/>
            <w:tcBorders>
              <w:tl2br w:val="nil"/>
              <w:tr2bl w:val="nil"/>
            </w:tcBorders>
            <w:noWrap w:val="0"/>
            <w:vAlign w:val="center"/>
          </w:tcPr>
          <w:p w14:paraId="1EA424C5">
            <w:pPr>
              <w:widowControl/>
              <w:tabs>
                <w:tab w:val="left" w:pos="1120"/>
              </w:tabs>
              <w:textAlignment w:val="center"/>
              <w:rPr>
                <w:rFonts w:hint="eastAsia" w:ascii="仿宋_GB2312" w:hAnsi="宋体" w:eastAsia="仿宋_GB2312" w:cs="仿宋_GB2312"/>
                <w:color w:val="000000"/>
                <w:kern w:val="0"/>
                <w:sz w:val="22"/>
                <w:szCs w:val="22"/>
                <w:lang w:bidi="ar"/>
              </w:rPr>
            </w:pPr>
          </w:p>
        </w:tc>
        <w:tc>
          <w:tcPr>
            <w:tcW w:w="881" w:type="dxa"/>
            <w:tcBorders>
              <w:tl2br w:val="nil"/>
              <w:tr2bl w:val="nil"/>
            </w:tcBorders>
            <w:noWrap w:val="0"/>
            <w:vAlign w:val="center"/>
          </w:tcPr>
          <w:p w14:paraId="3B7FE75E">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新增</w:t>
            </w:r>
          </w:p>
        </w:tc>
      </w:tr>
      <w:tr w14:paraId="2A6C0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trPr>
        <w:tc>
          <w:tcPr>
            <w:tcW w:w="596" w:type="dxa"/>
            <w:tcBorders>
              <w:tl2br w:val="nil"/>
              <w:tr2bl w:val="nil"/>
            </w:tcBorders>
            <w:noWrap w:val="0"/>
            <w:vAlign w:val="center"/>
          </w:tcPr>
          <w:p w14:paraId="58D10DDB">
            <w:pPr>
              <w:widowControl/>
              <w:tabs>
                <w:tab w:val="left" w:pos="1120"/>
              </w:tabs>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10</w:t>
            </w:r>
          </w:p>
        </w:tc>
        <w:tc>
          <w:tcPr>
            <w:tcW w:w="1294" w:type="dxa"/>
            <w:tcBorders>
              <w:tl2br w:val="nil"/>
              <w:tr2bl w:val="nil"/>
            </w:tcBorders>
            <w:noWrap w:val="0"/>
            <w:vAlign w:val="center"/>
          </w:tcPr>
          <w:p w14:paraId="6B83B64F">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联通工业PON</w:t>
            </w:r>
          </w:p>
        </w:tc>
        <w:tc>
          <w:tcPr>
            <w:tcW w:w="2732" w:type="dxa"/>
            <w:tcBorders>
              <w:tl2br w:val="nil"/>
              <w:tr2bl w:val="nil"/>
            </w:tcBorders>
            <w:noWrap w:val="0"/>
            <w:vAlign w:val="center"/>
          </w:tcPr>
          <w:p w14:paraId="2755D190">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生产控制、信息采集、移动办公、厂区视频监控等网络应用场景</w:t>
            </w:r>
          </w:p>
        </w:tc>
        <w:tc>
          <w:tcPr>
            <w:tcW w:w="4980" w:type="dxa"/>
            <w:tcBorders>
              <w:tl2br w:val="nil"/>
              <w:tr2bl w:val="nil"/>
            </w:tcBorders>
            <w:noWrap w:val="0"/>
            <w:vAlign w:val="center"/>
          </w:tcPr>
          <w:p w14:paraId="3A008B8A">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满足企业低时延、多联接、无缝漫游，内外网隔离的安全上网需求，有效保障多用户并发的生产经营场景接入体验，并提供完善的网络管理平台，提升企业内部生产服务效率。</w:t>
            </w:r>
          </w:p>
        </w:tc>
        <w:tc>
          <w:tcPr>
            <w:tcW w:w="2868" w:type="dxa"/>
            <w:tcBorders>
              <w:tl2br w:val="nil"/>
              <w:tr2bl w:val="nil"/>
            </w:tcBorders>
            <w:noWrap w:val="0"/>
            <w:vAlign w:val="center"/>
          </w:tcPr>
          <w:p w14:paraId="419B2047">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2万元-50万元</w:t>
            </w:r>
          </w:p>
        </w:tc>
        <w:tc>
          <w:tcPr>
            <w:tcW w:w="710" w:type="dxa"/>
            <w:tcBorders>
              <w:tl2br w:val="nil"/>
              <w:tr2bl w:val="nil"/>
            </w:tcBorders>
            <w:noWrap w:val="0"/>
            <w:vAlign w:val="center"/>
          </w:tcPr>
          <w:p w14:paraId="49CD108D">
            <w:pPr>
              <w:widowControl/>
              <w:tabs>
                <w:tab w:val="left" w:pos="1120"/>
              </w:tabs>
              <w:textAlignment w:val="center"/>
              <w:rPr>
                <w:rFonts w:hint="eastAsia" w:ascii="仿宋_GB2312" w:hAnsi="宋体" w:eastAsia="仿宋_GB2312" w:cs="仿宋_GB2312"/>
                <w:color w:val="000000"/>
                <w:kern w:val="0"/>
                <w:sz w:val="22"/>
                <w:szCs w:val="22"/>
                <w:lang w:bidi="ar"/>
              </w:rPr>
            </w:pPr>
          </w:p>
        </w:tc>
        <w:tc>
          <w:tcPr>
            <w:tcW w:w="881" w:type="dxa"/>
            <w:tcBorders>
              <w:tl2br w:val="nil"/>
              <w:tr2bl w:val="nil"/>
            </w:tcBorders>
            <w:noWrap w:val="0"/>
            <w:vAlign w:val="center"/>
          </w:tcPr>
          <w:p w14:paraId="6932C0C7">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新增</w:t>
            </w:r>
          </w:p>
        </w:tc>
      </w:tr>
      <w:tr w14:paraId="5ED8A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5" w:hRule="atLeast"/>
        </w:trPr>
        <w:tc>
          <w:tcPr>
            <w:tcW w:w="596" w:type="dxa"/>
            <w:tcBorders>
              <w:tl2br w:val="nil"/>
              <w:tr2bl w:val="nil"/>
            </w:tcBorders>
            <w:noWrap w:val="0"/>
            <w:vAlign w:val="center"/>
          </w:tcPr>
          <w:p w14:paraId="20981E98">
            <w:pPr>
              <w:widowControl/>
              <w:tabs>
                <w:tab w:val="left" w:pos="1120"/>
              </w:tabs>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11</w:t>
            </w:r>
          </w:p>
        </w:tc>
        <w:tc>
          <w:tcPr>
            <w:tcW w:w="1294" w:type="dxa"/>
            <w:tcBorders>
              <w:tl2br w:val="nil"/>
              <w:tr2bl w:val="nil"/>
            </w:tcBorders>
            <w:noWrap w:val="0"/>
            <w:vAlign w:val="center"/>
          </w:tcPr>
          <w:p w14:paraId="78D541CE">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5G专网自服务平台</w:t>
            </w:r>
          </w:p>
        </w:tc>
        <w:tc>
          <w:tcPr>
            <w:tcW w:w="2732" w:type="dxa"/>
            <w:tcBorders>
              <w:tl2br w:val="nil"/>
              <w:tr2bl w:val="nil"/>
            </w:tcBorders>
            <w:noWrap w:val="0"/>
            <w:vAlign w:val="center"/>
          </w:tcPr>
          <w:p w14:paraId="34F1FE08">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面向中小企业的一网统管平台</w:t>
            </w:r>
          </w:p>
        </w:tc>
        <w:tc>
          <w:tcPr>
            <w:tcW w:w="4980" w:type="dxa"/>
            <w:tcBorders>
              <w:tl2br w:val="nil"/>
              <w:tr2bl w:val="nil"/>
            </w:tcBorders>
            <w:noWrap w:val="0"/>
            <w:vAlign w:val="center"/>
          </w:tcPr>
          <w:p w14:paraId="453B8020">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网络资产可视（企业网络设备监控总览、企业网络）、网络态势感知（网络运行状态、网络告警管理）</w:t>
            </w:r>
          </w:p>
        </w:tc>
        <w:tc>
          <w:tcPr>
            <w:tcW w:w="2868" w:type="dxa"/>
            <w:tcBorders>
              <w:tl2br w:val="nil"/>
              <w:tr2bl w:val="nil"/>
            </w:tcBorders>
            <w:noWrap w:val="0"/>
            <w:vAlign w:val="center"/>
          </w:tcPr>
          <w:p w14:paraId="12D331DF">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2万元-100万元</w:t>
            </w:r>
          </w:p>
        </w:tc>
        <w:tc>
          <w:tcPr>
            <w:tcW w:w="710" w:type="dxa"/>
            <w:tcBorders>
              <w:tl2br w:val="nil"/>
              <w:tr2bl w:val="nil"/>
            </w:tcBorders>
            <w:noWrap w:val="0"/>
            <w:vAlign w:val="center"/>
          </w:tcPr>
          <w:p w14:paraId="64D5BF4F">
            <w:pPr>
              <w:widowControl/>
              <w:tabs>
                <w:tab w:val="left" w:pos="1120"/>
              </w:tabs>
              <w:textAlignment w:val="center"/>
              <w:rPr>
                <w:rFonts w:hint="eastAsia" w:ascii="仿宋_GB2312" w:hAnsi="宋体" w:eastAsia="仿宋_GB2312" w:cs="仿宋_GB2312"/>
                <w:color w:val="000000"/>
                <w:kern w:val="0"/>
                <w:sz w:val="22"/>
                <w:szCs w:val="22"/>
                <w:lang w:bidi="ar"/>
              </w:rPr>
            </w:pPr>
          </w:p>
        </w:tc>
        <w:tc>
          <w:tcPr>
            <w:tcW w:w="881" w:type="dxa"/>
            <w:tcBorders>
              <w:tl2br w:val="nil"/>
              <w:tr2bl w:val="nil"/>
            </w:tcBorders>
            <w:noWrap w:val="0"/>
            <w:vAlign w:val="center"/>
          </w:tcPr>
          <w:p w14:paraId="2C5970D1">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新增</w:t>
            </w:r>
          </w:p>
        </w:tc>
      </w:tr>
      <w:tr w14:paraId="5BFE6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4" w:hRule="atLeast"/>
        </w:trPr>
        <w:tc>
          <w:tcPr>
            <w:tcW w:w="596" w:type="dxa"/>
            <w:tcBorders>
              <w:tl2br w:val="nil"/>
              <w:tr2bl w:val="nil"/>
            </w:tcBorders>
            <w:noWrap w:val="0"/>
            <w:vAlign w:val="center"/>
          </w:tcPr>
          <w:p w14:paraId="580F8592">
            <w:pPr>
              <w:widowControl/>
              <w:tabs>
                <w:tab w:val="left" w:pos="1120"/>
              </w:tabs>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12</w:t>
            </w:r>
          </w:p>
        </w:tc>
        <w:tc>
          <w:tcPr>
            <w:tcW w:w="1294" w:type="dxa"/>
            <w:tcBorders>
              <w:tl2br w:val="nil"/>
              <w:tr2bl w:val="nil"/>
            </w:tcBorders>
            <w:noWrap w:val="0"/>
            <w:vAlign w:val="center"/>
          </w:tcPr>
          <w:p w14:paraId="43B1E9FE">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智慧能源云平台</w:t>
            </w:r>
          </w:p>
        </w:tc>
        <w:tc>
          <w:tcPr>
            <w:tcW w:w="2732" w:type="dxa"/>
            <w:tcBorders>
              <w:tl2br w:val="nil"/>
              <w:tr2bl w:val="nil"/>
            </w:tcBorders>
            <w:noWrap w:val="0"/>
            <w:vAlign w:val="center"/>
          </w:tcPr>
          <w:p w14:paraId="370EF983">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面向工业制造企业提供精细化能碳管理</w:t>
            </w:r>
          </w:p>
        </w:tc>
        <w:tc>
          <w:tcPr>
            <w:tcW w:w="4980" w:type="dxa"/>
            <w:tcBorders>
              <w:tl2br w:val="nil"/>
              <w:tr2bl w:val="nil"/>
            </w:tcBorders>
            <w:noWrap w:val="0"/>
            <w:vAlign w:val="center"/>
          </w:tcPr>
          <w:p w14:paraId="4B6A893E">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能耗监测、空压智控、循环水智控、空调智控、印染定型机热能管理、光伏、储能、充电桩智能监测、排放监测、侵入监测报警。</w:t>
            </w:r>
          </w:p>
        </w:tc>
        <w:tc>
          <w:tcPr>
            <w:tcW w:w="2868" w:type="dxa"/>
            <w:tcBorders>
              <w:tl2br w:val="nil"/>
              <w:tr2bl w:val="nil"/>
            </w:tcBorders>
            <w:noWrap w:val="0"/>
            <w:vAlign w:val="center"/>
          </w:tcPr>
          <w:p w14:paraId="51DC2D1B">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私有10万元-100万元；公有按需收取年费</w:t>
            </w:r>
          </w:p>
        </w:tc>
        <w:tc>
          <w:tcPr>
            <w:tcW w:w="710" w:type="dxa"/>
            <w:tcBorders>
              <w:tl2br w:val="nil"/>
              <w:tr2bl w:val="nil"/>
            </w:tcBorders>
            <w:noWrap w:val="0"/>
            <w:vAlign w:val="center"/>
          </w:tcPr>
          <w:p w14:paraId="6CB806B3">
            <w:pPr>
              <w:widowControl/>
              <w:tabs>
                <w:tab w:val="left" w:pos="1120"/>
              </w:tabs>
              <w:textAlignment w:val="center"/>
              <w:rPr>
                <w:rFonts w:hint="eastAsia" w:ascii="仿宋_GB2312" w:hAnsi="宋体" w:eastAsia="仿宋_GB2312" w:cs="仿宋_GB2312"/>
                <w:color w:val="000000"/>
                <w:kern w:val="0"/>
                <w:sz w:val="22"/>
                <w:szCs w:val="22"/>
                <w:lang w:bidi="ar"/>
              </w:rPr>
            </w:pPr>
          </w:p>
        </w:tc>
        <w:tc>
          <w:tcPr>
            <w:tcW w:w="881" w:type="dxa"/>
            <w:tcBorders>
              <w:tl2br w:val="nil"/>
              <w:tr2bl w:val="nil"/>
            </w:tcBorders>
            <w:noWrap w:val="0"/>
            <w:vAlign w:val="center"/>
          </w:tcPr>
          <w:p w14:paraId="6B6C2B4B">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新增</w:t>
            </w:r>
          </w:p>
        </w:tc>
      </w:tr>
      <w:tr w14:paraId="107BF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1" w:hRule="atLeast"/>
        </w:trPr>
        <w:tc>
          <w:tcPr>
            <w:tcW w:w="596" w:type="dxa"/>
            <w:tcBorders>
              <w:tl2br w:val="nil"/>
              <w:tr2bl w:val="nil"/>
            </w:tcBorders>
            <w:noWrap w:val="0"/>
            <w:vAlign w:val="center"/>
          </w:tcPr>
          <w:p w14:paraId="7E6DDE66">
            <w:pPr>
              <w:widowControl/>
              <w:tabs>
                <w:tab w:val="left" w:pos="1120"/>
              </w:tabs>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13</w:t>
            </w:r>
          </w:p>
        </w:tc>
        <w:tc>
          <w:tcPr>
            <w:tcW w:w="1294" w:type="dxa"/>
            <w:tcBorders>
              <w:tl2br w:val="nil"/>
              <w:tr2bl w:val="nil"/>
            </w:tcBorders>
            <w:noWrap w:val="0"/>
            <w:vAlign w:val="center"/>
          </w:tcPr>
          <w:p w14:paraId="61D1069E">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MES生产管理平台</w:t>
            </w:r>
          </w:p>
        </w:tc>
        <w:tc>
          <w:tcPr>
            <w:tcW w:w="2732" w:type="dxa"/>
            <w:tcBorders>
              <w:tl2br w:val="nil"/>
              <w:tr2bl w:val="nil"/>
            </w:tcBorders>
            <w:noWrap w:val="0"/>
            <w:vAlign w:val="center"/>
          </w:tcPr>
          <w:p w14:paraId="1FEC63E6">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面向工业企业客户的生产制造管理系统</w:t>
            </w:r>
          </w:p>
        </w:tc>
        <w:tc>
          <w:tcPr>
            <w:tcW w:w="4980" w:type="dxa"/>
            <w:tcBorders>
              <w:tl2br w:val="nil"/>
              <w:tr2bl w:val="nil"/>
            </w:tcBorders>
            <w:noWrap w:val="0"/>
            <w:vAlign w:val="center"/>
          </w:tcPr>
          <w:p w14:paraId="3B110902">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1.车间报工轻量版：订单下达、工单管理、委外加工、任务派工、生产报工、绩效工资、决策分析。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2.MES定制版本计划端：计划排程、执行派工、工艺管理、仓储管理、物流规划、设备管理、权限管理、工厂建模、系统配置；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执行端：生产执行、质检执行、维保执行、出入库、异常管理、物料齐套；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分析端：看板监控、数据分析、全链路追溯。</w:t>
            </w:r>
          </w:p>
        </w:tc>
        <w:tc>
          <w:tcPr>
            <w:tcW w:w="2868" w:type="dxa"/>
            <w:tcBorders>
              <w:tl2br w:val="nil"/>
              <w:tr2bl w:val="nil"/>
            </w:tcBorders>
            <w:noWrap w:val="0"/>
            <w:vAlign w:val="center"/>
          </w:tcPr>
          <w:p w14:paraId="6B438B02">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私有10万元-150万元；公有按需收取年费</w:t>
            </w:r>
          </w:p>
        </w:tc>
        <w:tc>
          <w:tcPr>
            <w:tcW w:w="710" w:type="dxa"/>
            <w:tcBorders>
              <w:tl2br w:val="nil"/>
              <w:tr2bl w:val="nil"/>
            </w:tcBorders>
            <w:noWrap w:val="0"/>
            <w:vAlign w:val="center"/>
          </w:tcPr>
          <w:p w14:paraId="1B1886A2">
            <w:pPr>
              <w:widowControl/>
              <w:tabs>
                <w:tab w:val="left" w:pos="1120"/>
              </w:tabs>
              <w:textAlignment w:val="center"/>
              <w:rPr>
                <w:rFonts w:hint="eastAsia" w:ascii="仿宋_GB2312" w:hAnsi="宋体" w:eastAsia="仿宋_GB2312" w:cs="仿宋_GB2312"/>
                <w:color w:val="000000"/>
                <w:kern w:val="0"/>
                <w:sz w:val="22"/>
                <w:szCs w:val="22"/>
                <w:lang w:bidi="ar"/>
              </w:rPr>
            </w:pPr>
          </w:p>
        </w:tc>
        <w:tc>
          <w:tcPr>
            <w:tcW w:w="881" w:type="dxa"/>
            <w:tcBorders>
              <w:tl2br w:val="nil"/>
              <w:tr2bl w:val="nil"/>
            </w:tcBorders>
            <w:noWrap w:val="0"/>
            <w:vAlign w:val="center"/>
          </w:tcPr>
          <w:p w14:paraId="67C1F583">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新增</w:t>
            </w:r>
          </w:p>
        </w:tc>
      </w:tr>
      <w:tr w14:paraId="16431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596" w:type="dxa"/>
            <w:tcBorders>
              <w:tl2br w:val="nil"/>
              <w:tr2bl w:val="nil"/>
            </w:tcBorders>
            <w:noWrap w:val="0"/>
            <w:vAlign w:val="center"/>
          </w:tcPr>
          <w:p w14:paraId="41086775">
            <w:pPr>
              <w:widowControl/>
              <w:tabs>
                <w:tab w:val="left" w:pos="1120"/>
              </w:tabs>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14</w:t>
            </w:r>
          </w:p>
        </w:tc>
        <w:tc>
          <w:tcPr>
            <w:tcW w:w="1294" w:type="dxa"/>
            <w:tcBorders>
              <w:tl2br w:val="nil"/>
              <w:tr2bl w:val="nil"/>
            </w:tcBorders>
            <w:noWrap w:val="0"/>
            <w:vAlign w:val="center"/>
          </w:tcPr>
          <w:p w14:paraId="33624807">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装备云</w:t>
            </w:r>
          </w:p>
        </w:tc>
        <w:tc>
          <w:tcPr>
            <w:tcW w:w="2732" w:type="dxa"/>
            <w:tcBorders>
              <w:tl2br w:val="nil"/>
              <w:tr2bl w:val="nil"/>
            </w:tcBorders>
            <w:noWrap w:val="0"/>
            <w:vAlign w:val="center"/>
          </w:tcPr>
          <w:p w14:paraId="47F600B3">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面向制造企业提供的设备管理云平台</w:t>
            </w:r>
          </w:p>
        </w:tc>
        <w:tc>
          <w:tcPr>
            <w:tcW w:w="4980" w:type="dxa"/>
            <w:tcBorders>
              <w:tl2br w:val="nil"/>
              <w:tr2bl w:val="nil"/>
            </w:tcBorders>
            <w:noWrap w:val="0"/>
            <w:vAlign w:val="center"/>
          </w:tcPr>
          <w:p w14:paraId="4850A213">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设备管理模块、注塑机联网、机加设备联网、通用设备联网模块、智联边缘一体机模块、售后服务管控模块、光谱质检模块、预测性维护模块、数字化设备模型、智能预警、故障诊断、行业算法库、移动端应用。</w:t>
            </w:r>
          </w:p>
        </w:tc>
        <w:tc>
          <w:tcPr>
            <w:tcW w:w="2868" w:type="dxa"/>
            <w:tcBorders>
              <w:tl2br w:val="nil"/>
              <w:tr2bl w:val="nil"/>
            </w:tcBorders>
            <w:noWrap w:val="0"/>
            <w:vAlign w:val="center"/>
          </w:tcPr>
          <w:p w14:paraId="11C7821F">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10万元-300万元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1.设备管理模块：50000元-80000元/套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2.注塑机联网模块：3500元-6000元/台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3.机加设备联网模块：4000元-8000元/台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4.通用设备联网模块：3500元-6000元/台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5.智联边缘一体机模块：30000元-50000元/套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6.售后服务管控模块：80000元-120000元/套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7.光谱质检模块：15000元-50000元/场景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8.预测性维护模块：5000元-6000元/套</w:t>
            </w:r>
          </w:p>
        </w:tc>
        <w:tc>
          <w:tcPr>
            <w:tcW w:w="710" w:type="dxa"/>
            <w:tcBorders>
              <w:tl2br w:val="nil"/>
              <w:tr2bl w:val="nil"/>
            </w:tcBorders>
            <w:noWrap w:val="0"/>
            <w:vAlign w:val="center"/>
          </w:tcPr>
          <w:p w14:paraId="7DE770AA">
            <w:pPr>
              <w:widowControl/>
              <w:tabs>
                <w:tab w:val="left" w:pos="1120"/>
              </w:tabs>
              <w:textAlignment w:val="center"/>
              <w:rPr>
                <w:rFonts w:hint="eastAsia" w:ascii="仿宋_GB2312" w:hAnsi="宋体" w:eastAsia="仿宋_GB2312" w:cs="仿宋_GB2312"/>
                <w:color w:val="000000"/>
                <w:kern w:val="0"/>
                <w:sz w:val="22"/>
                <w:szCs w:val="22"/>
                <w:lang w:bidi="ar"/>
              </w:rPr>
            </w:pPr>
          </w:p>
        </w:tc>
        <w:tc>
          <w:tcPr>
            <w:tcW w:w="881" w:type="dxa"/>
            <w:tcBorders>
              <w:tl2br w:val="nil"/>
              <w:tr2bl w:val="nil"/>
            </w:tcBorders>
            <w:noWrap w:val="0"/>
            <w:vAlign w:val="center"/>
          </w:tcPr>
          <w:p w14:paraId="6D78AA26">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新增</w:t>
            </w:r>
          </w:p>
        </w:tc>
      </w:tr>
      <w:tr w14:paraId="73BAD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596" w:type="dxa"/>
            <w:tcBorders>
              <w:tl2br w:val="nil"/>
              <w:tr2bl w:val="nil"/>
            </w:tcBorders>
            <w:noWrap w:val="0"/>
            <w:vAlign w:val="center"/>
          </w:tcPr>
          <w:p w14:paraId="2961C790">
            <w:pPr>
              <w:widowControl/>
              <w:tabs>
                <w:tab w:val="left" w:pos="1120"/>
              </w:tabs>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15</w:t>
            </w:r>
          </w:p>
        </w:tc>
        <w:tc>
          <w:tcPr>
            <w:tcW w:w="1294" w:type="dxa"/>
            <w:tcBorders>
              <w:tl2br w:val="nil"/>
              <w:tr2bl w:val="nil"/>
            </w:tcBorders>
            <w:noWrap w:val="0"/>
            <w:vAlign w:val="center"/>
          </w:tcPr>
          <w:p w14:paraId="31DE4EE5">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5G天极平台</w:t>
            </w:r>
          </w:p>
        </w:tc>
        <w:tc>
          <w:tcPr>
            <w:tcW w:w="2732" w:type="dxa"/>
            <w:tcBorders>
              <w:tl2br w:val="nil"/>
              <w:tr2bl w:val="nil"/>
            </w:tcBorders>
            <w:noWrap w:val="0"/>
            <w:vAlign w:val="center"/>
          </w:tcPr>
          <w:p w14:paraId="5CEE5D2A">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5G全连接工厂管理平台</w:t>
            </w:r>
          </w:p>
        </w:tc>
        <w:tc>
          <w:tcPr>
            <w:tcW w:w="4980" w:type="dxa"/>
            <w:tcBorders>
              <w:tl2br w:val="nil"/>
              <w:tr2bl w:val="nil"/>
            </w:tcBorders>
            <w:noWrap w:val="0"/>
            <w:vAlign w:val="center"/>
          </w:tcPr>
          <w:p w14:paraId="540CEB6D">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5G专网集成分析、数字工厂应用集成分析、</w:t>
            </w:r>
            <w:r>
              <w:rPr>
                <w:rFonts w:hint="default" w:ascii="仿宋" w:hAnsi="仿宋" w:eastAsia="仿宋" w:cs="仿宋"/>
                <w:i w:val="0"/>
                <w:iCs w:val="0"/>
                <w:color w:val="000000"/>
                <w:kern w:val="0"/>
                <w:sz w:val="24"/>
                <w:szCs w:val="24"/>
                <w:u w:val="none"/>
                <w:lang w:val="en-US" w:eastAsia="zh-CN" w:bidi="ar"/>
              </w:rPr>
              <w:t>5G</w:t>
            </w:r>
            <w:r>
              <w:rPr>
                <w:rFonts w:hint="eastAsia" w:ascii="仿宋" w:hAnsi="仿宋" w:eastAsia="仿宋" w:cs="仿宋"/>
                <w:i w:val="0"/>
                <w:iCs w:val="0"/>
                <w:color w:val="000000"/>
                <w:kern w:val="0"/>
                <w:sz w:val="24"/>
                <w:szCs w:val="24"/>
                <w:u w:val="none"/>
                <w:lang w:val="en-US" w:eastAsia="zh-CN" w:bidi="ar"/>
              </w:rPr>
              <w:t>天极平台底座、</w:t>
            </w:r>
            <w:r>
              <w:rPr>
                <w:rFonts w:hint="default" w:ascii="仿宋" w:hAnsi="仿宋" w:eastAsia="仿宋" w:cs="仿宋"/>
                <w:i w:val="0"/>
                <w:iCs w:val="0"/>
                <w:color w:val="000000"/>
                <w:kern w:val="0"/>
                <w:sz w:val="24"/>
                <w:szCs w:val="24"/>
                <w:u w:val="none"/>
                <w:lang w:val="en-US" w:eastAsia="zh-CN" w:bidi="ar"/>
              </w:rPr>
              <w:t>5G</w:t>
            </w:r>
            <w:r>
              <w:rPr>
                <w:rFonts w:hint="eastAsia" w:ascii="仿宋" w:hAnsi="仿宋" w:eastAsia="仿宋" w:cs="仿宋"/>
                <w:i w:val="0"/>
                <w:iCs w:val="0"/>
                <w:color w:val="000000"/>
                <w:kern w:val="0"/>
                <w:sz w:val="24"/>
                <w:szCs w:val="24"/>
                <w:u w:val="none"/>
                <w:lang w:val="en-US" w:eastAsia="zh-CN" w:bidi="ar"/>
              </w:rPr>
              <w:t>基础设施概览、</w:t>
            </w:r>
            <w:r>
              <w:rPr>
                <w:rFonts w:hint="default" w:ascii="仿宋" w:hAnsi="仿宋" w:eastAsia="仿宋" w:cs="仿宋"/>
                <w:i w:val="0"/>
                <w:iCs w:val="0"/>
                <w:color w:val="000000"/>
                <w:kern w:val="0"/>
                <w:sz w:val="24"/>
                <w:szCs w:val="24"/>
                <w:u w:val="none"/>
                <w:lang w:val="en-US" w:eastAsia="zh-CN" w:bidi="ar"/>
              </w:rPr>
              <w:t>5G</w:t>
            </w:r>
            <w:r>
              <w:rPr>
                <w:rFonts w:hint="eastAsia" w:ascii="仿宋" w:hAnsi="仿宋" w:eastAsia="仿宋" w:cs="仿宋"/>
                <w:i w:val="0"/>
                <w:iCs w:val="0"/>
                <w:color w:val="000000"/>
                <w:kern w:val="0"/>
                <w:sz w:val="24"/>
                <w:szCs w:val="24"/>
                <w:u w:val="none"/>
                <w:lang w:val="en-US" w:eastAsia="zh-CN" w:bidi="ar"/>
              </w:rPr>
              <w:t>融合应用分析、专网应用融合数据分析、平台数据融通分析服务。</w:t>
            </w:r>
          </w:p>
        </w:tc>
        <w:tc>
          <w:tcPr>
            <w:tcW w:w="2868" w:type="dxa"/>
            <w:tcBorders>
              <w:tl2br w:val="nil"/>
              <w:tr2bl w:val="nil"/>
            </w:tcBorders>
            <w:noWrap w:val="0"/>
            <w:vAlign w:val="center"/>
          </w:tcPr>
          <w:p w14:paraId="547EAD2E">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私有10万元-50万元；公有按需收取年费</w:t>
            </w:r>
          </w:p>
        </w:tc>
        <w:tc>
          <w:tcPr>
            <w:tcW w:w="710" w:type="dxa"/>
            <w:tcBorders>
              <w:tl2br w:val="nil"/>
              <w:tr2bl w:val="nil"/>
            </w:tcBorders>
            <w:noWrap w:val="0"/>
            <w:vAlign w:val="center"/>
          </w:tcPr>
          <w:p w14:paraId="4700137B">
            <w:pPr>
              <w:widowControl/>
              <w:tabs>
                <w:tab w:val="left" w:pos="1120"/>
              </w:tabs>
              <w:textAlignment w:val="center"/>
              <w:rPr>
                <w:rFonts w:hint="eastAsia" w:ascii="仿宋_GB2312" w:hAnsi="宋体" w:eastAsia="仿宋_GB2312" w:cs="仿宋_GB2312"/>
                <w:color w:val="000000"/>
                <w:kern w:val="0"/>
                <w:sz w:val="22"/>
                <w:szCs w:val="22"/>
                <w:lang w:bidi="ar"/>
              </w:rPr>
            </w:pPr>
          </w:p>
        </w:tc>
        <w:tc>
          <w:tcPr>
            <w:tcW w:w="881" w:type="dxa"/>
            <w:tcBorders>
              <w:tl2br w:val="nil"/>
              <w:tr2bl w:val="nil"/>
            </w:tcBorders>
            <w:noWrap w:val="0"/>
            <w:vAlign w:val="center"/>
          </w:tcPr>
          <w:p w14:paraId="7AD92C52">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新增</w:t>
            </w:r>
          </w:p>
        </w:tc>
      </w:tr>
      <w:tr w14:paraId="25A87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5" w:hRule="atLeast"/>
        </w:trPr>
        <w:tc>
          <w:tcPr>
            <w:tcW w:w="596" w:type="dxa"/>
            <w:tcBorders>
              <w:tl2br w:val="nil"/>
              <w:tr2bl w:val="nil"/>
            </w:tcBorders>
            <w:noWrap w:val="0"/>
            <w:vAlign w:val="center"/>
          </w:tcPr>
          <w:p w14:paraId="23E27E3D">
            <w:pPr>
              <w:widowControl/>
              <w:tabs>
                <w:tab w:val="left" w:pos="1120"/>
              </w:tabs>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16</w:t>
            </w:r>
          </w:p>
        </w:tc>
        <w:tc>
          <w:tcPr>
            <w:tcW w:w="1294" w:type="dxa"/>
            <w:tcBorders>
              <w:tl2br w:val="nil"/>
              <w:tr2bl w:val="nil"/>
            </w:tcBorders>
            <w:noWrap w:val="0"/>
            <w:vAlign w:val="center"/>
          </w:tcPr>
          <w:p w14:paraId="6863BD67">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数御安全管理平台</w:t>
            </w:r>
          </w:p>
        </w:tc>
        <w:tc>
          <w:tcPr>
            <w:tcW w:w="2732" w:type="dxa"/>
            <w:tcBorders>
              <w:tl2br w:val="nil"/>
              <w:tr2bl w:val="nil"/>
            </w:tcBorders>
            <w:noWrap w:val="0"/>
            <w:vAlign w:val="center"/>
          </w:tcPr>
          <w:p w14:paraId="68601653">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企业数据安全运营服务</w:t>
            </w:r>
          </w:p>
        </w:tc>
        <w:tc>
          <w:tcPr>
            <w:tcW w:w="4980" w:type="dxa"/>
            <w:tcBorders>
              <w:tl2br w:val="nil"/>
              <w:tr2bl w:val="nil"/>
            </w:tcBorders>
            <w:noWrap w:val="0"/>
            <w:vAlign w:val="center"/>
          </w:tcPr>
          <w:p w14:paraId="1C835313">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提供企业数据分类分级管理、数据动态脱敏、数据加密、用户行为跟踪审计、数据访问权限控制、数据安全风险分析等模块服务。</w:t>
            </w:r>
          </w:p>
        </w:tc>
        <w:tc>
          <w:tcPr>
            <w:tcW w:w="2868" w:type="dxa"/>
            <w:tcBorders>
              <w:tl2br w:val="nil"/>
              <w:tr2bl w:val="nil"/>
            </w:tcBorders>
            <w:noWrap w:val="0"/>
            <w:vAlign w:val="center"/>
          </w:tcPr>
          <w:p w14:paraId="5422890D">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20万元-50万元</w:t>
            </w:r>
          </w:p>
        </w:tc>
        <w:tc>
          <w:tcPr>
            <w:tcW w:w="710" w:type="dxa"/>
            <w:tcBorders>
              <w:tl2br w:val="nil"/>
              <w:tr2bl w:val="nil"/>
            </w:tcBorders>
            <w:noWrap w:val="0"/>
            <w:vAlign w:val="center"/>
          </w:tcPr>
          <w:p w14:paraId="48784D04">
            <w:pPr>
              <w:widowControl/>
              <w:tabs>
                <w:tab w:val="left" w:pos="1120"/>
              </w:tabs>
              <w:textAlignment w:val="center"/>
              <w:rPr>
                <w:rFonts w:hint="eastAsia" w:ascii="仿宋_GB2312" w:hAnsi="宋体" w:eastAsia="仿宋_GB2312" w:cs="仿宋_GB2312"/>
                <w:color w:val="000000"/>
                <w:kern w:val="0"/>
                <w:sz w:val="22"/>
                <w:szCs w:val="22"/>
                <w:lang w:bidi="ar"/>
              </w:rPr>
            </w:pPr>
          </w:p>
        </w:tc>
        <w:tc>
          <w:tcPr>
            <w:tcW w:w="881" w:type="dxa"/>
            <w:tcBorders>
              <w:tl2br w:val="nil"/>
              <w:tr2bl w:val="nil"/>
            </w:tcBorders>
            <w:noWrap w:val="0"/>
            <w:vAlign w:val="center"/>
          </w:tcPr>
          <w:p w14:paraId="165E9B1B">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新增</w:t>
            </w:r>
          </w:p>
        </w:tc>
      </w:tr>
      <w:tr w14:paraId="04761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6" w:hRule="atLeast"/>
        </w:trPr>
        <w:tc>
          <w:tcPr>
            <w:tcW w:w="596" w:type="dxa"/>
            <w:tcBorders>
              <w:tl2br w:val="nil"/>
              <w:tr2bl w:val="nil"/>
            </w:tcBorders>
            <w:noWrap w:val="0"/>
            <w:vAlign w:val="center"/>
          </w:tcPr>
          <w:p w14:paraId="2FFFFA87">
            <w:pPr>
              <w:widowControl/>
              <w:tabs>
                <w:tab w:val="left" w:pos="1120"/>
              </w:tabs>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17</w:t>
            </w:r>
          </w:p>
        </w:tc>
        <w:tc>
          <w:tcPr>
            <w:tcW w:w="1294" w:type="dxa"/>
            <w:tcBorders>
              <w:tl2br w:val="nil"/>
              <w:tr2bl w:val="nil"/>
            </w:tcBorders>
            <w:noWrap w:val="0"/>
            <w:vAlign w:val="center"/>
          </w:tcPr>
          <w:p w14:paraId="3FEB0857">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车间报工融合产品</w:t>
            </w:r>
          </w:p>
        </w:tc>
        <w:tc>
          <w:tcPr>
            <w:tcW w:w="2732" w:type="dxa"/>
            <w:tcBorders>
              <w:tl2br w:val="nil"/>
              <w:tr2bl w:val="nil"/>
            </w:tcBorders>
            <w:noWrap w:val="0"/>
            <w:vAlign w:val="center"/>
          </w:tcPr>
          <w:p w14:paraId="41DF160D">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一款轻量化的车间数字化小程序</w:t>
            </w:r>
          </w:p>
        </w:tc>
        <w:tc>
          <w:tcPr>
            <w:tcW w:w="4980" w:type="dxa"/>
            <w:tcBorders>
              <w:tl2br w:val="nil"/>
              <w:tr2bl w:val="nil"/>
            </w:tcBorders>
            <w:noWrap w:val="0"/>
            <w:vAlign w:val="center"/>
          </w:tcPr>
          <w:p w14:paraId="08D48653">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车间报工帮助中小制造企业管交期、促协同、明过程、算绩效，提升订单交期，降本增效。同时配备</w:t>
            </w:r>
            <w:r>
              <w:rPr>
                <w:rFonts w:hint="default" w:ascii="仿宋" w:hAnsi="仿宋" w:eastAsia="仿宋" w:cs="仿宋"/>
                <w:i w:val="0"/>
                <w:iCs w:val="0"/>
                <w:color w:val="000000"/>
                <w:kern w:val="0"/>
                <w:sz w:val="24"/>
                <w:szCs w:val="24"/>
                <w:u w:val="none"/>
                <w:lang w:val="en-US" w:eastAsia="zh-CN" w:bidi="ar"/>
              </w:rPr>
              <w:t>5G</w:t>
            </w:r>
            <w:r>
              <w:rPr>
                <w:rFonts w:hint="eastAsia" w:ascii="仿宋" w:hAnsi="仿宋" w:eastAsia="仿宋" w:cs="仿宋"/>
                <w:i w:val="0"/>
                <w:iCs w:val="0"/>
                <w:color w:val="000000"/>
                <w:kern w:val="0"/>
                <w:sz w:val="24"/>
                <w:szCs w:val="24"/>
                <w:u w:val="none"/>
                <w:lang w:val="en-US" w:eastAsia="zh-CN" w:bidi="ar"/>
              </w:rPr>
              <w:t>智能专线，为客户提供即插即用、无线接入、快速交付、移动办公、带宽计费服务。</w:t>
            </w:r>
          </w:p>
        </w:tc>
        <w:tc>
          <w:tcPr>
            <w:tcW w:w="2868" w:type="dxa"/>
            <w:tcBorders>
              <w:tl2br w:val="nil"/>
              <w:tr2bl w:val="nil"/>
            </w:tcBorders>
            <w:noWrap w:val="0"/>
            <w:vAlign w:val="center"/>
          </w:tcPr>
          <w:p w14:paraId="520B7400">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0.5万元-5万元，按需收取年费</w:t>
            </w:r>
          </w:p>
        </w:tc>
        <w:tc>
          <w:tcPr>
            <w:tcW w:w="710" w:type="dxa"/>
            <w:tcBorders>
              <w:tl2br w:val="nil"/>
              <w:tr2bl w:val="nil"/>
            </w:tcBorders>
            <w:noWrap w:val="0"/>
            <w:vAlign w:val="center"/>
          </w:tcPr>
          <w:p w14:paraId="0AF7F869">
            <w:pPr>
              <w:widowControl/>
              <w:tabs>
                <w:tab w:val="left" w:pos="1120"/>
              </w:tabs>
              <w:textAlignment w:val="center"/>
              <w:rPr>
                <w:rFonts w:hint="eastAsia" w:ascii="仿宋_GB2312" w:hAnsi="宋体" w:eastAsia="仿宋_GB2312" w:cs="仿宋_GB2312"/>
                <w:color w:val="000000"/>
                <w:kern w:val="0"/>
                <w:sz w:val="22"/>
                <w:szCs w:val="22"/>
                <w:lang w:bidi="ar"/>
              </w:rPr>
            </w:pPr>
          </w:p>
        </w:tc>
        <w:tc>
          <w:tcPr>
            <w:tcW w:w="881" w:type="dxa"/>
            <w:tcBorders>
              <w:tl2br w:val="nil"/>
              <w:tr2bl w:val="nil"/>
            </w:tcBorders>
            <w:noWrap w:val="0"/>
            <w:vAlign w:val="center"/>
          </w:tcPr>
          <w:p w14:paraId="3161C407">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新增</w:t>
            </w:r>
          </w:p>
        </w:tc>
      </w:tr>
      <w:tr w14:paraId="6B249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1" w:hRule="atLeast"/>
        </w:trPr>
        <w:tc>
          <w:tcPr>
            <w:tcW w:w="596" w:type="dxa"/>
            <w:tcBorders>
              <w:tl2br w:val="nil"/>
              <w:tr2bl w:val="nil"/>
            </w:tcBorders>
            <w:noWrap w:val="0"/>
            <w:vAlign w:val="center"/>
          </w:tcPr>
          <w:p w14:paraId="5CBBD9FE">
            <w:pPr>
              <w:widowControl/>
              <w:tabs>
                <w:tab w:val="left" w:pos="1120"/>
              </w:tabs>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18</w:t>
            </w:r>
          </w:p>
        </w:tc>
        <w:tc>
          <w:tcPr>
            <w:tcW w:w="1294" w:type="dxa"/>
            <w:tcBorders>
              <w:tl2br w:val="nil"/>
              <w:tr2bl w:val="nil"/>
            </w:tcBorders>
            <w:noWrap w:val="0"/>
            <w:vAlign w:val="center"/>
          </w:tcPr>
          <w:p w14:paraId="6E0C6B8E">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灵犀渡AI</w:t>
            </w:r>
          </w:p>
        </w:tc>
        <w:tc>
          <w:tcPr>
            <w:tcW w:w="2732" w:type="dxa"/>
            <w:tcBorders>
              <w:tl2br w:val="nil"/>
              <w:tr2bl w:val="nil"/>
            </w:tcBorders>
            <w:noWrap w:val="0"/>
            <w:vAlign w:val="center"/>
          </w:tcPr>
          <w:p w14:paraId="385F3939">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云手机和纳管平台结合，打造海外社媒营销解决方案</w:t>
            </w:r>
          </w:p>
        </w:tc>
        <w:tc>
          <w:tcPr>
            <w:tcW w:w="4980" w:type="dxa"/>
            <w:tcBorders>
              <w:tl2br w:val="nil"/>
              <w:tr2bl w:val="nil"/>
            </w:tcBorders>
            <w:noWrap w:val="0"/>
            <w:vAlign w:val="center"/>
          </w:tcPr>
          <w:p w14:paraId="1D856469">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通过AI技术，结合各行业大数据，提供一整套海外社媒智能营销解决方案。实现一键多平台、多账号、多语言打造社媒矩阵，实现低成本高效率全网霸屏。数据工具、内容</w:t>
            </w:r>
            <w:r>
              <w:rPr>
                <w:rFonts w:hint="default" w:ascii="仿宋" w:hAnsi="仿宋" w:eastAsia="仿宋" w:cs="仿宋"/>
                <w:i w:val="0"/>
                <w:iCs w:val="0"/>
                <w:color w:val="000000"/>
                <w:kern w:val="0"/>
                <w:sz w:val="24"/>
                <w:szCs w:val="24"/>
                <w:u w:val="none"/>
                <w:lang w:val="en-US" w:eastAsia="zh-CN" w:bidi="ar"/>
              </w:rPr>
              <w:t>AI</w:t>
            </w:r>
            <w:r>
              <w:rPr>
                <w:rFonts w:hint="eastAsia" w:ascii="仿宋" w:hAnsi="仿宋" w:eastAsia="仿宋" w:cs="仿宋"/>
                <w:i w:val="0"/>
                <w:iCs w:val="0"/>
                <w:color w:val="000000"/>
                <w:kern w:val="0"/>
                <w:sz w:val="24"/>
                <w:szCs w:val="24"/>
                <w:u w:val="none"/>
                <w:lang w:val="en-US" w:eastAsia="zh-CN" w:bidi="ar"/>
              </w:rPr>
              <w:t>、营销工具、图片</w:t>
            </w:r>
            <w:r>
              <w:rPr>
                <w:rFonts w:hint="default" w:ascii="仿宋" w:hAnsi="仿宋" w:eastAsia="仿宋" w:cs="仿宋"/>
                <w:i w:val="0"/>
                <w:iCs w:val="0"/>
                <w:color w:val="000000"/>
                <w:kern w:val="0"/>
                <w:sz w:val="24"/>
                <w:szCs w:val="24"/>
                <w:u w:val="none"/>
                <w:lang w:val="en-US" w:eastAsia="zh-CN" w:bidi="ar"/>
              </w:rPr>
              <w:t>AI</w:t>
            </w:r>
            <w:r>
              <w:rPr>
                <w:rFonts w:hint="eastAsia" w:ascii="仿宋" w:hAnsi="仿宋" w:eastAsia="仿宋" w:cs="仿宋"/>
                <w:i w:val="0"/>
                <w:iCs w:val="0"/>
                <w:color w:val="000000"/>
                <w:kern w:val="0"/>
                <w:sz w:val="24"/>
                <w:szCs w:val="24"/>
                <w:u w:val="none"/>
                <w:lang w:val="en-US" w:eastAsia="zh-CN" w:bidi="ar"/>
              </w:rPr>
              <w:t>、智能客服工具、视频</w:t>
            </w:r>
            <w:r>
              <w:rPr>
                <w:rFonts w:hint="default" w:ascii="仿宋" w:hAnsi="仿宋" w:eastAsia="仿宋" w:cs="仿宋"/>
                <w:i w:val="0"/>
                <w:iCs w:val="0"/>
                <w:color w:val="000000"/>
                <w:kern w:val="0"/>
                <w:sz w:val="24"/>
                <w:szCs w:val="24"/>
                <w:u w:val="none"/>
                <w:lang w:val="en-US" w:eastAsia="zh-CN" w:bidi="ar"/>
              </w:rPr>
              <w:t>AI</w:t>
            </w:r>
            <w:r>
              <w:rPr>
                <w:rFonts w:hint="eastAsia" w:ascii="仿宋" w:hAnsi="仿宋" w:eastAsia="仿宋" w:cs="仿宋"/>
                <w:i w:val="0"/>
                <w:iCs w:val="0"/>
                <w:color w:val="000000"/>
                <w:kern w:val="0"/>
                <w:sz w:val="24"/>
                <w:szCs w:val="24"/>
                <w:u w:val="none"/>
                <w:lang w:val="en-US" w:eastAsia="zh-CN" w:bidi="ar"/>
              </w:rPr>
              <w:t>、海外社交媒体自动接口、百万外贸从业者共享提词。</w:t>
            </w:r>
          </w:p>
        </w:tc>
        <w:tc>
          <w:tcPr>
            <w:tcW w:w="2868" w:type="dxa"/>
            <w:tcBorders>
              <w:tl2br w:val="nil"/>
              <w:tr2bl w:val="nil"/>
            </w:tcBorders>
            <w:noWrap w:val="0"/>
            <w:vAlign w:val="center"/>
          </w:tcPr>
          <w:p w14:paraId="0C73868C">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3万元-10万元/套/年，按需收费</w:t>
            </w:r>
          </w:p>
        </w:tc>
        <w:tc>
          <w:tcPr>
            <w:tcW w:w="710" w:type="dxa"/>
            <w:tcBorders>
              <w:tl2br w:val="nil"/>
              <w:tr2bl w:val="nil"/>
            </w:tcBorders>
            <w:noWrap w:val="0"/>
            <w:vAlign w:val="center"/>
          </w:tcPr>
          <w:p w14:paraId="3AA043FC">
            <w:pPr>
              <w:widowControl/>
              <w:tabs>
                <w:tab w:val="left" w:pos="1120"/>
              </w:tabs>
              <w:textAlignment w:val="center"/>
              <w:rPr>
                <w:rFonts w:hint="eastAsia" w:ascii="仿宋_GB2312" w:hAnsi="宋体" w:eastAsia="仿宋_GB2312" w:cs="仿宋_GB2312"/>
                <w:color w:val="000000"/>
                <w:kern w:val="0"/>
                <w:sz w:val="22"/>
                <w:szCs w:val="22"/>
                <w:lang w:bidi="ar"/>
              </w:rPr>
            </w:pPr>
          </w:p>
        </w:tc>
        <w:tc>
          <w:tcPr>
            <w:tcW w:w="881" w:type="dxa"/>
            <w:tcBorders>
              <w:tl2br w:val="nil"/>
              <w:tr2bl w:val="nil"/>
            </w:tcBorders>
            <w:noWrap w:val="0"/>
            <w:vAlign w:val="center"/>
          </w:tcPr>
          <w:p w14:paraId="3E135CA6">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新增</w:t>
            </w:r>
          </w:p>
        </w:tc>
      </w:tr>
      <w:tr w14:paraId="30D78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8" w:hRule="atLeast"/>
        </w:trPr>
        <w:tc>
          <w:tcPr>
            <w:tcW w:w="596" w:type="dxa"/>
            <w:tcBorders>
              <w:tl2br w:val="nil"/>
              <w:tr2bl w:val="nil"/>
            </w:tcBorders>
            <w:noWrap w:val="0"/>
            <w:vAlign w:val="center"/>
          </w:tcPr>
          <w:p w14:paraId="49E542E0">
            <w:pPr>
              <w:widowControl/>
              <w:tabs>
                <w:tab w:val="left" w:pos="1120"/>
              </w:tabs>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19</w:t>
            </w:r>
          </w:p>
        </w:tc>
        <w:tc>
          <w:tcPr>
            <w:tcW w:w="1294" w:type="dxa"/>
            <w:tcBorders>
              <w:tl2br w:val="nil"/>
              <w:tr2bl w:val="nil"/>
            </w:tcBorders>
            <w:noWrap w:val="0"/>
            <w:vAlign w:val="center"/>
          </w:tcPr>
          <w:p w14:paraId="7822108D">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云联至简</w:t>
            </w:r>
          </w:p>
        </w:tc>
        <w:tc>
          <w:tcPr>
            <w:tcW w:w="2732" w:type="dxa"/>
            <w:tcBorders>
              <w:tl2br w:val="nil"/>
              <w:tr2bl w:val="nil"/>
            </w:tcBorders>
            <w:noWrap w:val="0"/>
            <w:vAlign w:val="center"/>
          </w:tcPr>
          <w:p w14:paraId="55312DCB">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云联至简是为中小企业和重点行业客户提供“协同办公底座+saas应用”一站式服务的产品，通过与通信基础业务结合可为客户提供基础通信和协同办公一体化数字化转型解决方案。</w:t>
            </w:r>
          </w:p>
        </w:tc>
        <w:tc>
          <w:tcPr>
            <w:tcW w:w="4980" w:type="dxa"/>
            <w:tcBorders>
              <w:tl2br w:val="nil"/>
              <w:tr2bl w:val="nil"/>
            </w:tcBorders>
            <w:noWrap w:val="0"/>
            <w:vAlign w:val="center"/>
          </w:tcPr>
          <w:p w14:paraId="38916799">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全面覆盖制造业、零售业、工业、服务业等多个行业在内的实际业务，覆盖了企业日常所能用到的基础办公功能以外增加了企业业务支撑应用，对于日常办公功能来说不需要复杂的程序直接上手就能使用。</w:t>
            </w:r>
          </w:p>
        </w:tc>
        <w:tc>
          <w:tcPr>
            <w:tcW w:w="2868" w:type="dxa"/>
            <w:tcBorders>
              <w:tl2br w:val="nil"/>
              <w:tr2bl w:val="nil"/>
            </w:tcBorders>
            <w:noWrap w:val="0"/>
            <w:vAlign w:val="center"/>
          </w:tcPr>
          <w:p w14:paraId="3D9E6F34">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2万元-50万元，按需收费</w:t>
            </w:r>
          </w:p>
        </w:tc>
        <w:tc>
          <w:tcPr>
            <w:tcW w:w="710" w:type="dxa"/>
            <w:tcBorders>
              <w:tl2br w:val="nil"/>
              <w:tr2bl w:val="nil"/>
            </w:tcBorders>
            <w:noWrap w:val="0"/>
            <w:vAlign w:val="center"/>
          </w:tcPr>
          <w:p w14:paraId="179868DB">
            <w:pPr>
              <w:widowControl/>
              <w:tabs>
                <w:tab w:val="left" w:pos="1120"/>
              </w:tabs>
              <w:textAlignment w:val="center"/>
              <w:rPr>
                <w:rFonts w:hint="eastAsia" w:ascii="仿宋_GB2312" w:hAnsi="宋体" w:eastAsia="仿宋_GB2312" w:cs="仿宋_GB2312"/>
                <w:color w:val="000000"/>
                <w:kern w:val="0"/>
                <w:sz w:val="22"/>
                <w:szCs w:val="22"/>
                <w:lang w:bidi="ar"/>
              </w:rPr>
            </w:pPr>
          </w:p>
        </w:tc>
        <w:tc>
          <w:tcPr>
            <w:tcW w:w="881" w:type="dxa"/>
            <w:tcBorders>
              <w:tl2br w:val="nil"/>
              <w:tr2bl w:val="nil"/>
            </w:tcBorders>
            <w:noWrap w:val="0"/>
            <w:vAlign w:val="center"/>
          </w:tcPr>
          <w:p w14:paraId="561FCC0B">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新增</w:t>
            </w:r>
          </w:p>
        </w:tc>
      </w:tr>
      <w:tr w14:paraId="79599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596" w:type="dxa"/>
            <w:tcBorders>
              <w:tl2br w:val="nil"/>
              <w:tr2bl w:val="nil"/>
            </w:tcBorders>
            <w:noWrap w:val="0"/>
            <w:vAlign w:val="center"/>
          </w:tcPr>
          <w:p w14:paraId="4E26209E">
            <w:pPr>
              <w:widowControl/>
              <w:tabs>
                <w:tab w:val="left" w:pos="1120"/>
              </w:tabs>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20</w:t>
            </w:r>
          </w:p>
        </w:tc>
        <w:tc>
          <w:tcPr>
            <w:tcW w:w="1294" w:type="dxa"/>
            <w:tcBorders>
              <w:tl2br w:val="nil"/>
              <w:tr2bl w:val="nil"/>
            </w:tcBorders>
            <w:noWrap w:val="0"/>
            <w:vAlign w:val="center"/>
          </w:tcPr>
          <w:p w14:paraId="564F48AD">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工业生产作业信息管理系统</w:t>
            </w:r>
          </w:p>
        </w:tc>
        <w:tc>
          <w:tcPr>
            <w:tcW w:w="2732" w:type="dxa"/>
            <w:tcBorders>
              <w:tl2br w:val="nil"/>
              <w:tr2bl w:val="nil"/>
            </w:tcBorders>
            <w:noWrap w:val="0"/>
            <w:vAlign w:val="center"/>
          </w:tcPr>
          <w:p w14:paraId="3C1926BB">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是为中小制造企业快速实现数字化量身打造的智能一体化方案</w:t>
            </w:r>
          </w:p>
        </w:tc>
        <w:tc>
          <w:tcPr>
            <w:tcW w:w="4980" w:type="dxa"/>
            <w:tcBorders>
              <w:tl2br w:val="nil"/>
              <w:tr2bl w:val="nil"/>
            </w:tcBorders>
            <w:noWrap w:val="0"/>
            <w:vAlign w:val="center"/>
          </w:tcPr>
          <w:p w14:paraId="69A5C324">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可作为工厂大脑，进行经营管理及生产制造过程的实时管控，包括了ERP、MES、WMS、QMIS等数字化应用，一站式帮助企业实现业务和生产数字化。</w:t>
            </w:r>
          </w:p>
        </w:tc>
        <w:tc>
          <w:tcPr>
            <w:tcW w:w="2868" w:type="dxa"/>
            <w:tcBorders>
              <w:tl2br w:val="nil"/>
              <w:tr2bl w:val="nil"/>
            </w:tcBorders>
            <w:noWrap w:val="0"/>
            <w:vAlign w:val="center"/>
          </w:tcPr>
          <w:p w14:paraId="6F0A100C">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1万元-200万元，按需收费</w:t>
            </w:r>
          </w:p>
        </w:tc>
        <w:tc>
          <w:tcPr>
            <w:tcW w:w="710" w:type="dxa"/>
            <w:tcBorders>
              <w:tl2br w:val="nil"/>
              <w:tr2bl w:val="nil"/>
            </w:tcBorders>
            <w:noWrap w:val="0"/>
            <w:vAlign w:val="center"/>
          </w:tcPr>
          <w:p w14:paraId="784E271F">
            <w:pPr>
              <w:widowControl/>
              <w:tabs>
                <w:tab w:val="left" w:pos="1120"/>
              </w:tabs>
              <w:textAlignment w:val="center"/>
              <w:rPr>
                <w:rFonts w:hint="eastAsia" w:ascii="仿宋_GB2312" w:hAnsi="宋体" w:eastAsia="仿宋_GB2312" w:cs="仿宋_GB2312"/>
                <w:color w:val="000000"/>
                <w:kern w:val="0"/>
                <w:sz w:val="22"/>
                <w:szCs w:val="22"/>
                <w:lang w:bidi="ar"/>
              </w:rPr>
            </w:pPr>
          </w:p>
        </w:tc>
        <w:tc>
          <w:tcPr>
            <w:tcW w:w="881" w:type="dxa"/>
            <w:tcBorders>
              <w:tl2br w:val="nil"/>
              <w:tr2bl w:val="nil"/>
            </w:tcBorders>
            <w:noWrap w:val="0"/>
            <w:vAlign w:val="center"/>
          </w:tcPr>
          <w:p w14:paraId="22E37671">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新增</w:t>
            </w:r>
          </w:p>
        </w:tc>
      </w:tr>
      <w:tr w14:paraId="4121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596" w:type="dxa"/>
            <w:tcBorders>
              <w:tl2br w:val="nil"/>
              <w:tr2bl w:val="nil"/>
            </w:tcBorders>
            <w:noWrap w:val="0"/>
            <w:vAlign w:val="center"/>
          </w:tcPr>
          <w:p w14:paraId="6F9A200A">
            <w:pPr>
              <w:widowControl/>
              <w:tabs>
                <w:tab w:val="left" w:pos="1120"/>
              </w:tabs>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21</w:t>
            </w:r>
          </w:p>
        </w:tc>
        <w:tc>
          <w:tcPr>
            <w:tcW w:w="1294" w:type="dxa"/>
            <w:tcBorders>
              <w:tl2br w:val="nil"/>
              <w:tr2bl w:val="nil"/>
            </w:tcBorders>
            <w:noWrap w:val="0"/>
            <w:vAlign w:val="center"/>
          </w:tcPr>
          <w:p w14:paraId="34C83C2B">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智慧园区平台</w:t>
            </w:r>
          </w:p>
        </w:tc>
        <w:tc>
          <w:tcPr>
            <w:tcW w:w="2732" w:type="dxa"/>
            <w:tcBorders>
              <w:tl2br w:val="nil"/>
              <w:tr2bl w:val="nil"/>
            </w:tcBorders>
            <w:noWrap w:val="0"/>
            <w:vAlign w:val="center"/>
          </w:tcPr>
          <w:p w14:paraId="68622309">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经营管理、运维服务</w:t>
            </w:r>
          </w:p>
        </w:tc>
        <w:tc>
          <w:tcPr>
            <w:tcW w:w="4980" w:type="dxa"/>
            <w:tcBorders>
              <w:tl2br w:val="nil"/>
              <w:tr2bl w:val="nil"/>
            </w:tcBorders>
            <w:noWrap w:val="0"/>
            <w:vAlign w:val="center"/>
          </w:tcPr>
          <w:p w14:paraId="42BAA40A">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面向中小微园区、商办楼宇、入园企业的客户群体，提供物业管理、智慧安防、智慧办公、智慧物联、宿舍管理等标准化功能服务，助力客户降本提效增收。</w:t>
            </w:r>
          </w:p>
        </w:tc>
        <w:tc>
          <w:tcPr>
            <w:tcW w:w="2868" w:type="dxa"/>
            <w:tcBorders>
              <w:tl2br w:val="nil"/>
              <w:tr2bl w:val="nil"/>
            </w:tcBorders>
            <w:noWrap w:val="0"/>
            <w:vAlign w:val="center"/>
          </w:tcPr>
          <w:p w14:paraId="32DE3952">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1万元-200万元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1.基础服务：2000元/年/租户，包括物业管理、基础功能等软件功能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2.增值服务：2000元/人/天（按工作量）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1）系统对接：利旧设备对接、外部系统对接；</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2）功能开发：数据大屏、新增功能等定制化开发。</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3）设备套餐：安防、办公类等设备采购/租赁服务；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4）配套服务：AI、网络、云服务。</w:t>
            </w:r>
          </w:p>
        </w:tc>
        <w:tc>
          <w:tcPr>
            <w:tcW w:w="710" w:type="dxa"/>
            <w:tcBorders>
              <w:tl2br w:val="nil"/>
              <w:tr2bl w:val="nil"/>
            </w:tcBorders>
            <w:noWrap w:val="0"/>
            <w:vAlign w:val="center"/>
          </w:tcPr>
          <w:p w14:paraId="485255C9">
            <w:pPr>
              <w:widowControl/>
              <w:tabs>
                <w:tab w:val="left" w:pos="1120"/>
              </w:tabs>
              <w:textAlignment w:val="center"/>
              <w:rPr>
                <w:rFonts w:hint="eastAsia" w:ascii="仿宋_GB2312" w:hAnsi="宋体" w:eastAsia="仿宋_GB2312" w:cs="仿宋_GB2312"/>
                <w:color w:val="000000"/>
                <w:kern w:val="0"/>
                <w:sz w:val="22"/>
                <w:szCs w:val="22"/>
                <w:lang w:bidi="ar"/>
              </w:rPr>
            </w:pPr>
          </w:p>
        </w:tc>
        <w:tc>
          <w:tcPr>
            <w:tcW w:w="881" w:type="dxa"/>
            <w:tcBorders>
              <w:tl2br w:val="nil"/>
              <w:tr2bl w:val="nil"/>
            </w:tcBorders>
            <w:noWrap w:val="0"/>
            <w:vAlign w:val="center"/>
          </w:tcPr>
          <w:p w14:paraId="09FDA6A2">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新增</w:t>
            </w:r>
          </w:p>
        </w:tc>
      </w:tr>
      <w:tr w14:paraId="1CEB8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trPr>
        <w:tc>
          <w:tcPr>
            <w:tcW w:w="596" w:type="dxa"/>
            <w:tcBorders>
              <w:tl2br w:val="nil"/>
              <w:tr2bl w:val="nil"/>
            </w:tcBorders>
            <w:noWrap w:val="0"/>
            <w:vAlign w:val="center"/>
          </w:tcPr>
          <w:p w14:paraId="2D17A8E2">
            <w:pPr>
              <w:widowControl/>
              <w:tabs>
                <w:tab w:val="left" w:pos="1120"/>
              </w:tabs>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22</w:t>
            </w:r>
          </w:p>
        </w:tc>
        <w:tc>
          <w:tcPr>
            <w:tcW w:w="1294" w:type="dxa"/>
            <w:tcBorders>
              <w:tl2br w:val="nil"/>
              <w:tr2bl w:val="nil"/>
            </w:tcBorders>
            <w:noWrap w:val="0"/>
            <w:vAlign w:val="center"/>
          </w:tcPr>
          <w:p w14:paraId="4B129DD8">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联通工业固移融合平台</w:t>
            </w:r>
          </w:p>
        </w:tc>
        <w:tc>
          <w:tcPr>
            <w:tcW w:w="2732" w:type="dxa"/>
            <w:tcBorders>
              <w:tl2br w:val="nil"/>
              <w:tr2bl w:val="nil"/>
            </w:tcBorders>
            <w:noWrap w:val="0"/>
            <w:vAlign w:val="center"/>
          </w:tcPr>
          <w:p w14:paraId="0F83DAD0">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对客户侧路由器、交换机、防火墙、服务器、工业终端（PON，FTTO）等ICT设备进行集中纳管、集中监控、集中告警，提供多种质量监控手段,支持客户专属全景视图、资源监控、网络拓扑、性能管理、告警全流程处理能力，全方位管控ICT基础设施运行质量。</w:t>
            </w:r>
          </w:p>
        </w:tc>
        <w:tc>
          <w:tcPr>
            <w:tcW w:w="4980" w:type="dxa"/>
            <w:tcBorders>
              <w:tl2br w:val="nil"/>
              <w:tr2bl w:val="nil"/>
            </w:tcBorders>
            <w:noWrap w:val="0"/>
            <w:vAlign w:val="center"/>
          </w:tcPr>
          <w:p w14:paraId="49A4D903">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企业级ICT运维监控系统。通过内网管家实现客户侧IT、CT、终端设备和网络的集中纳管、集中监控、集中运维，提供园区级ICT综合信息管理能力、故障主动侦测预警能力、网络质量和业务质量端到端可视化呈现能力等。</w:t>
            </w:r>
          </w:p>
        </w:tc>
        <w:tc>
          <w:tcPr>
            <w:tcW w:w="2868" w:type="dxa"/>
            <w:tcBorders>
              <w:tl2br w:val="nil"/>
              <w:tr2bl w:val="nil"/>
            </w:tcBorders>
            <w:noWrap w:val="0"/>
            <w:vAlign w:val="center"/>
          </w:tcPr>
          <w:p w14:paraId="39102FCC">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3万元-100万元，具体结合云化部署或私有化部署</w:t>
            </w:r>
          </w:p>
        </w:tc>
        <w:tc>
          <w:tcPr>
            <w:tcW w:w="710" w:type="dxa"/>
            <w:tcBorders>
              <w:tl2br w:val="nil"/>
              <w:tr2bl w:val="nil"/>
            </w:tcBorders>
            <w:noWrap w:val="0"/>
            <w:vAlign w:val="center"/>
          </w:tcPr>
          <w:p w14:paraId="3E401BDF">
            <w:pPr>
              <w:widowControl/>
              <w:tabs>
                <w:tab w:val="left" w:pos="1120"/>
              </w:tabs>
              <w:textAlignment w:val="center"/>
              <w:rPr>
                <w:rFonts w:hint="eastAsia" w:ascii="仿宋_GB2312" w:hAnsi="宋体" w:eastAsia="仿宋_GB2312" w:cs="仿宋_GB2312"/>
                <w:color w:val="000000"/>
                <w:kern w:val="0"/>
                <w:sz w:val="22"/>
                <w:szCs w:val="22"/>
                <w:lang w:bidi="ar"/>
              </w:rPr>
            </w:pPr>
          </w:p>
        </w:tc>
        <w:tc>
          <w:tcPr>
            <w:tcW w:w="881" w:type="dxa"/>
            <w:tcBorders>
              <w:tl2br w:val="nil"/>
              <w:tr2bl w:val="nil"/>
            </w:tcBorders>
            <w:noWrap w:val="0"/>
            <w:vAlign w:val="center"/>
          </w:tcPr>
          <w:p w14:paraId="3D82D334">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新增</w:t>
            </w:r>
          </w:p>
        </w:tc>
      </w:tr>
      <w:tr w14:paraId="10CC2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6" w:hRule="atLeast"/>
        </w:trPr>
        <w:tc>
          <w:tcPr>
            <w:tcW w:w="596" w:type="dxa"/>
            <w:tcBorders>
              <w:tl2br w:val="nil"/>
              <w:tr2bl w:val="nil"/>
            </w:tcBorders>
            <w:noWrap w:val="0"/>
            <w:vAlign w:val="center"/>
          </w:tcPr>
          <w:p w14:paraId="390558A0">
            <w:pPr>
              <w:widowControl/>
              <w:tabs>
                <w:tab w:val="left" w:pos="1120"/>
              </w:tabs>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23</w:t>
            </w:r>
          </w:p>
        </w:tc>
        <w:tc>
          <w:tcPr>
            <w:tcW w:w="1294" w:type="dxa"/>
            <w:tcBorders>
              <w:tl2br w:val="nil"/>
              <w:tr2bl w:val="nil"/>
            </w:tcBorders>
            <w:noWrap w:val="0"/>
            <w:vAlign w:val="center"/>
          </w:tcPr>
          <w:p w14:paraId="7A350440">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老师傅工业大模型应用平台</w:t>
            </w:r>
          </w:p>
        </w:tc>
        <w:tc>
          <w:tcPr>
            <w:tcW w:w="2732" w:type="dxa"/>
            <w:tcBorders>
              <w:tl2br w:val="nil"/>
              <w:tr2bl w:val="nil"/>
            </w:tcBorders>
            <w:noWrap w:val="0"/>
            <w:vAlign w:val="center"/>
          </w:tcPr>
          <w:p w14:paraId="7056820F">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聚焦智能产线、智能诊断、智能运营三大场景。</w:t>
            </w:r>
          </w:p>
        </w:tc>
        <w:tc>
          <w:tcPr>
            <w:tcW w:w="4980" w:type="dxa"/>
            <w:tcBorders>
              <w:tl2br w:val="nil"/>
              <w:tr2bl w:val="nil"/>
            </w:tcBorders>
            <w:noWrap w:val="0"/>
            <w:vAlign w:val="center"/>
          </w:tcPr>
          <w:p w14:paraId="3EEDA739">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1轻量化Maas平台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提供模型纳管、训练、微调、部署等服务，轻松打造专属模型。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支持企业上传私有数据，搭建本地知识库建设</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提供工作流编排工具，支持企业自由构建智能体应用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2智能诊断</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中小企数转智能诊断</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报告自动生成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3智能生产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视觉质检:少样本学习、缺陷精准检测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智能运维:预测性维护、设备健康管理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4智能运维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智能问答</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智能看板</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智能培训数字人</w:t>
            </w:r>
          </w:p>
        </w:tc>
        <w:tc>
          <w:tcPr>
            <w:tcW w:w="2868" w:type="dxa"/>
            <w:tcBorders>
              <w:tl2br w:val="nil"/>
              <w:tr2bl w:val="nil"/>
            </w:tcBorders>
            <w:noWrap w:val="0"/>
            <w:vAlign w:val="center"/>
          </w:tcPr>
          <w:p w14:paraId="62276969">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按照场景定制化部署，5万元-50万元</w:t>
            </w:r>
          </w:p>
        </w:tc>
        <w:tc>
          <w:tcPr>
            <w:tcW w:w="710" w:type="dxa"/>
            <w:tcBorders>
              <w:tl2br w:val="nil"/>
              <w:tr2bl w:val="nil"/>
            </w:tcBorders>
            <w:noWrap w:val="0"/>
            <w:vAlign w:val="center"/>
          </w:tcPr>
          <w:p w14:paraId="384E3721">
            <w:pPr>
              <w:widowControl/>
              <w:tabs>
                <w:tab w:val="left" w:pos="1120"/>
              </w:tabs>
              <w:textAlignment w:val="center"/>
              <w:rPr>
                <w:rFonts w:hint="eastAsia" w:ascii="仿宋_GB2312" w:hAnsi="宋体" w:eastAsia="仿宋_GB2312" w:cs="仿宋_GB2312"/>
                <w:color w:val="000000"/>
                <w:kern w:val="0"/>
                <w:sz w:val="22"/>
                <w:szCs w:val="22"/>
                <w:lang w:bidi="ar"/>
              </w:rPr>
            </w:pPr>
          </w:p>
        </w:tc>
        <w:tc>
          <w:tcPr>
            <w:tcW w:w="881" w:type="dxa"/>
            <w:tcBorders>
              <w:tl2br w:val="nil"/>
              <w:tr2bl w:val="nil"/>
            </w:tcBorders>
            <w:noWrap w:val="0"/>
            <w:vAlign w:val="center"/>
          </w:tcPr>
          <w:p w14:paraId="06F66462">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新增</w:t>
            </w:r>
          </w:p>
        </w:tc>
      </w:tr>
      <w:tr w14:paraId="5295F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8" w:hRule="atLeast"/>
        </w:trPr>
        <w:tc>
          <w:tcPr>
            <w:tcW w:w="596" w:type="dxa"/>
            <w:tcBorders>
              <w:tl2br w:val="nil"/>
              <w:tr2bl w:val="nil"/>
            </w:tcBorders>
            <w:noWrap w:val="0"/>
            <w:vAlign w:val="center"/>
          </w:tcPr>
          <w:p w14:paraId="1F0F57B1">
            <w:pPr>
              <w:widowControl/>
              <w:tabs>
                <w:tab w:val="left" w:pos="1120"/>
              </w:tabs>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24</w:t>
            </w:r>
          </w:p>
        </w:tc>
        <w:tc>
          <w:tcPr>
            <w:tcW w:w="1294" w:type="dxa"/>
            <w:tcBorders>
              <w:tl2br w:val="nil"/>
              <w:tr2bl w:val="nil"/>
            </w:tcBorders>
            <w:noWrap w:val="0"/>
            <w:vAlign w:val="center"/>
          </w:tcPr>
          <w:p w14:paraId="27972FA6">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AI数字员工平台</w:t>
            </w:r>
          </w:p>
        </w:tc>
        <w:tc>
          <w:tcPr>
            <w:tcW w:w="2732" w:type="dxa"/>
            <w:tcBorders>
              <w:tl2br w:val="nil"/>
              <w:tr2bl w:val="nil"/>
            </w:tcBorders>
            <w:noWrap w:val="0"/>
            <w:vAlign w:val="center"/>
          </w:tcPr>
          <w:p w14:paraId="67940FBC">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企业培训场景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新员工入职培训</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产品知识培训</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销售技能提升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合规培训管理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日常办公场景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快速制作演示文稿</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企业知识查询</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文档智能处理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创意内容生成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销售管理场景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销售话术训练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客户沟通技巧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产品介绍优化</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销售数据分析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内容创作场景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营销素材制作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培训资料开发</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宣传内容生成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品牌形象设计</w:t>
            </w:r>
          </w:p>
        </w:tc>
        <w:tc>
          <w:tcPr>
            <w:tcW w:w="4980" w:type="dxa"/>
            <w:tcBorders>
              <w:tl2br w:val="nil"/>
              <w:tr2bl w:val="nil"/>
            </w:tcBorders>
            <w:noWrap w:val="0"/>
            <w:vAlign w:val="center"/>
          </w:tcPr>
          <w:p w14:paraId="68F65D99">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 xml:space="preserve">专为企业打造的全方位AI工作平台，旨在通过人工智能技术提升企业的工作效率、培训质量和业务水平。平台集成了对话问答、文档生成、培训管理、销售辅导等多项核心功能，为不同规模的企业提供定制化的AI解决方案。 </w:t>
            </w:r>
          </w:p>
        </w:tc>
        <w:tc>
          <w:tcPr>
            <w:tcW w:w="2868" w:type="dxa"/>
            <w:tcBorders>
              <w:tl2br w:val="nil"/>
              <w:tr2bl w:val="nil"/>
            </w:tcBorders>
            <w:noWrap w:val="0"/>
            <w:vAlign w:val="center"/>
          </w:tcPr>
          <w:p w14:paraId="51CAB32E">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r>
              <w:rPr>
                <w:rFonts w:hint="eastAsia" w:ascii="仿宋" w:hAnsi="仿宋" w:eastAsia="仿宋" w:cs="仿宋"/>
                <w:i w:val="0"/>
                <w:iCs w:val="0"/>
                <w:color w:val="000000"/>
                <w:kern w:val="0"/>
                <w:sz w:val="24"/>
                <w:szCs w:val="24"/>
                <w:u w:val="none"/>
                <w:lang w:val="en-US" w:eastAsia="zh-CN" w:bidi="ar"/>
              </w:rPr>
              <w:t>6万元-35万元，具体结合云化部署或私有化部署，</w:t>
            </w:r>
          </w:p>
        </w:tc>
        <w:tc>
          <w:tcPr>
            <w:tcW w:w="710" w:type="dxa"/>
            <w:tcBorders>
              <w:tl2br w:val="nil"/>
              <w:tr2bl w:val="nil"/>
            </w:tcBorders>
            <w:noWrap w:val="0"/>
            <w:vAlign w:val="center"/>
          </w:tcPr>
          <w:p w14:paraId="5AC412BB">
            <w:pPr>
              <w:widowControl/>
              <w:tabs>
                <w:tab w:val="left" w:pos="1120"/>
              </w:tabs>
              <w:textAlignment w:val="center"/>
              <w:rPr>
                <w:rFonts w:hint="eastAsia" w:ascii="仿宋_GB2312" w:hAnsi="宋体" w:eastAsia="仿宋_GB2312" w:cs="仿宋_GB2312"/>
                <w:color w:val="000000"/>
                <w:kern w:val="0"/>
                <w:sz w:val="22"/>
                <w:szCs w:val="22"/>
                <w:lang w:bidi="ar"/>
              </w:rPr>
            </w:pPr>
          </w:p>
        </w:tc>
        <w:tc>
          <w:tcPr>
            <w:tcW w:w="881" w:type="dxa"/>
            <w:tcBorders>
              <w:tl2br w:val="nil"/>
              <w:tr2bl w:val="nil"/>
            </w:tcBorders>
            <w:noWrap w:val="0"/>
            <w:vAlign w:val="center"/>
          </w:tcPr>
          <w:p w14:paraId="555652CF">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新增</w:t>
            </w:r>
          </w:p>
        </w:tc>
      </w:tr>
      <w:tr w14:paraId="66AA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7" w:hRule="atLeast"/>
        </w:trPr>
        <w:tc>
          <w:tcPr>
            <w:tcW w:w="596" w:type="dxa"/>
            <w:tcBorders>
              <w:tl2br w:val="nil"/>
              <w:tr2bl w:val="nil"/>
            </w:tcBorders>
            <w:noWrap w:val="0"/>
            <w:vAlign w:val="center"/>
          </w:tcPr>
          <w:p w14:paraId="5A1617B1">
            <w:pPr>
              <w:keepNext w:val="0"/>
              <w:keepLines w:val="0"/>
              <w:widowControl/>
              <w:suppressLineNumbers w:val="0"/>
              <w:jc w:val="center"/>
              <w:textAlignment w:val="center"/>
              <w:rPr>
                <w:rFonts w:hint="eastAsia" w:ascii="仿宋_GB2312" w:hAnsi="仿宋_GB2312" w:eastAsia="仿宋_GB2312" w:cs="仿宋_GB2312"/>
                <w:kern w:val="0"/>
                <w:sz w:val="24"/>
                <w:szCs w:val="24"/>
                <w:lang w:bidi="ar"/>
              </w:rPr>
            </w:pPr>
            <w:r>
              <w:rPr>
                <w:rFonts w:hint="eastAsia" w:ascii="仿宋" w:hAnsi="仿宋" w:eastAsia="仿宋" w:cs="仿宋"/>
                <w:i w:val="0"/>
                <w:iCs w:val="0"/>
                <w:color w:val="000000"/>
                <w:kern w:val="0"/>
                <w:sz w:val="24"/>
                <w:szCs w:val="24"/>
                <w:u w:val="none"/>
                <w:lang w:val="en-US" w:eastAsia="zh-CN" w:bidi="ar"/>
              </w:rPr>
              <w:t>25</w:t>
            </w:r>
          </w:p>
        </w:tc>
        <w:tc>
          <w:tcPr>
            <w:tcW w:w="1294" w:type="dxa"/>
            <w:tcBorders>
              <w:tl2br w:val="nil"/>
              <w:tr2bl w:val="nil"/>
            </w:tcBorders>
            <w:noWrap w:val="0"/>
            <w:vAlign w:val="center"/>
          </w:tcPr>
          <w:p w14:paraId="3F117C52">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U9 cloud</w:t>
            </w:r>
          </w:p>
        </w:tc>
        <w:tc>
          <w:tcPr>
            <w:tcW w:w="2732" w:type="dxa"/>
            <w:tcBorders>
              <w:tl2br w:val="nil"/>
              <w:tr2bl w:val="nil"/>
            </w:tcBorders>
            <w:noWrap w:val="0"/>
            <w:vAlign w:val="center"/>
          </w:tcPr>
          <w:p w14:paraId="284B969A">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用友U9 cloud聚焦制造企业十大核心业务场景——网络化协同、智能化生产、精细化成本、一体化应用、个性化定制、项目化制造、国际化经营、层级化考核、服务化转型和数智化分析，助推制造企业数智化转型，服务企业商业创新！</w:t>
            </w:r>
          </w:p>
        </w:tc>
        <w:tc>
          <w:tcPr>
            <w:tcW w:w="4980" w:type="dxa"/>
            <w:tcBorders>
              <w:tl2br w:val="nil"/>
              <w:tr2bl w:val="nil"/>
            </w:tcBorders>
            <w:noWrap w:val="0"/>
            <w:vAlign w:val="center"/>
          </w:tcPr>
          <w:p w14:paraId="45D0FF4D">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用友U9 cloud提供财务管理、供应链、生产制造、项目管理、HR、营销、资产管理、数据分析、协同办公及移动应用，助力制造企业数字化转型。</w:t>
            </w:r>
          </w:p>
        </w:tc>
        <w:tc>
          <w:tcPr>
            <w:tcW w:w="2868" w:type="dxa"/>
            <w:tcBorders>
              <w:tl2br w:val="nil"/>
              <w:tr2bl w:val="nil"/>
            </w:tcBorders>
            <w:noWrap w:val="0"/>
            <w:vAlign w:val="center"/>
          </w:tcPr>
          <w:p w14:paraId="25DCA393">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50万元-300万元</w:t>
            </w:r>
          </w:p>
        </w:tc>
        <w:tc>
          <w:tcPr>
            <w:tcW w:w="710" w:type="dxa"/>
            <w:tcBorders>
              <w:tl2br w:val="nil"/>
              <w:tr2bl w:val="nil"/>
            </w:tcBorders>
            <w:noWrap w:val="0"/>
            <w:vAlign w:val="center"/>
          </w:tcPr>
          <w:p w14:paraId="19280725">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p>
        </w:tc>
        <w:tc>
          <w:tcPr>
            <w:tcW w:w="881" w:type="dxa"/>
            <w:tcBorders>
              <w:tl2br w:val="nil"/>
              <w:tr2bl w:val="nil"/>
            </w:tcBorders>
            <w:noWrap w:val="0"/>
            <w:vAlign w:val="center"/>
          </w:tcPr>
          <w:p w14:paraId="55E47A90">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新增</w:t>
            </w:r>
          </w:p>
        </w:tc>
      </w:tr>
      <w:tr w14:paraId="4978E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2" w:hRule="atLeast"/>
        </w:trPr>
        <w:tc>
          <w:tcPr>
            <w:tcW w:w="596" w:type="dxa"/>
            <w:tcBorders>
              <w:tl2br w:val="nil"/>
              <w:tr2bl w:val="nil"/>
            </w:tcBorders>
            <w:noWrap w:val="0"/>
            <w:vAlign w:val="center"/>
          </w:tcPr>
          <w:p w14:paraId="5EFABEFB">
            <w:pPr>
              <w:keepNext w:val="0"/>
              <w:keepLines w:val="0"/>
              <w:widowControl/>
              <w:suppressLineNumbers w:val="0"/>
              <w:jc w:val="center"/>
              <w:textAlignment w:val="center"/>
              <w:rPr>
                <w:rFonts w:hint="eastAsia" w:ascii="仿宋_GB2312" w:hAnsi="仿宋_GB2312" w:eastAsia="仿宋_GB2312" w:cs="仿宋_GB2312"/>
                <w:kern w:val="0"/>
                <w:sz w:val="24"/>
                <w:szCs w:val="24"/>
                <w:lang w:bidi="ar"/>
              </w:rPr>
            </w:pPr>
            <w:r>
              <w:rPr>
                <w:rFonts w:hint="eastAsia" w:ascii="仿宋" w:hAnsi="仿宋" w:eastAsia="仿宋" w:cs="仿宋"/>
                <w:i w:val="0"/>
                <w:iCs w:val="0"/>
                <w:color w:val="000000"/>
                <w:kern w:val="0"/>
                <w:sz w:val="24"/>
                <w:szCs w:val="24"/>
                <w:u w:val="none"/>
                <w:lang w:val="en-US" w:eastAsia="zh-CN" w:bidi="ar"/>
              </w:rPr>
              <w:t>26</w:t>
            </w:r>
          </w:p>
        </w:tc>
        <w:tc>
          <w:tcPr>
            <w:tcW w:w="1294" w:type="dxa"/>
            <w:tcBorders>
              <w:tl2br w:val="nil"/>
              <w:tr2bl w:val="nil"/>
            </w:tcBorders>
            <w:noWrap w:val="0"/>
            <w:vAlign w:val="center"/>
          </w:tcPr>
          <w:p w14:paraId="74D73624">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YonSuite</w:t>
            </w:r>
          </w:p>
        </w:tc>
        <w:tc>
          <w:tcPr>
            <w:tcW w:w="2732" w:type="dxa"/>
            <w:tcBorders>
              <w:tl2br w:val="nil"/>
              <w:tr2bl w:val="nil"/>
            </w:tcBorders>
            <w:noWrap w:val="0"/>
            <w:vAlign w:val="center"/>
          </w:tcPr>
          <w:p w14:paraId="767F8416">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YonSuite是基于云原生架构，为成长型企业提供“营销、制造、采购、财务、人力、办公、平台”融合一体，支持企业全球化经营、社会化商业的云服务包。 YonSuite使能企业数字化、智能化发展，成就以客户为中心，数据驱动、实时运营，轻松管理的数智企业！</w:t>
            </w:r>
          </w:p>
        </w:tc>
        <w:tc>
          <w:tcPr>
            <w:tcW w:w="4980" w:type="dxa"/>
            <w:tcBorders>
              <w:tl2br w:val="nil"/>
              <w:tr2bl w:val="nil"/>
            </w:tcBorders>
            <w:noWrap w:val="0"/>
            <w:vAlign w:val="center"/>
          </w:tcPr>
          <w:p w14:paraId="272F00C1">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用友YonSuite集成了财务管理、供应链、生产管理、HR、CRM、项目管理、数据分析及协同办公等功能，支持企业全面数字化运营。</w:t>
            </w:r>
          </w:p>
        </w:tc>
        <w:tc>
          <w:tcPr>
            <w:tcW w:w="2868" w:type="dxa"/>
            <w:tcBorders>
              <w:tl2br w:val="nil"/>
              <w:tr2bl w:val="nil"/>
            </w:tcBorders>
            <w:noWrap w:val="0"/>
            <w:vAlign w:val="center"/>
          </w:tcPr>
          <w:p w14:paraId="27559F77">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5万元-200万元</w:t>
            </w:r>
          </w:p>
        </w:tc>
        <w:tc>
          <w:tcPr>
            <w:tcW w:w="710" w:type="dxa"/>
            <w:tcBorders>
              <w:tl2br w:val="nil"/>
              <w:tr2bl w:val="nil"/>
            </w:tcBorders>
            <w:noWrap w:val="0"/>
            <w:vAlign w:val="center"/>
          </w:tcPr>
          <w:p w14:paraId="0B1DD9DB">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p>
        </w:tc>
        <w:tc>
          <w:tcPr>
            <w:tcW w:w="881" w:type="dxa"/>
            <w:tcBorders>
              <w:tl2br w:val="nil"/>
              <w:tr2bl w:val="nil"/>
            </w:tcBorders>
            <w:noWrap w:val="0"/>
            <w:vAlign w:val="center"/>
          </w:tcPr>
          <w:p w14:paraId="46CFE78B">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新增</w:t>
            </w:r>
          </w:p>
        </w:tc>
      </w:tr>
      <w:tr w14:paraId="65497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8" w:hRule="atLeast"/>
        </w:trPr>
        <w:tc>
          <w:tcPr>
            <w:tcW w:w="596" w:type="dxa"/>
            <w:tcBorders>
              <w:tl2br w:val="nil"/>
              <w:tr2bl w:val="nil"/>
            </w:tcBorders>
            <w:noWrap w:val="0"/>
            <w:vAlign w:val="center"/>
          </w:tcPr>
          <w:p w14:paraId="2142BD12">
            <w:pPr>
              <w:keepNext w:val="0"/>
              <w:keepLines w:val="0"/>
              <w:widowControl/>
              <w:suppressLineNumbers w:val="0"/>
              <w:jc w:val="center"/>
              <w:textAlignment w:val="center"/>
              <w:rPr>
                <w:rFonts w:hint="eastAsia" w:ascii="仿宋_GB2312" w:hAnsi="仿宋_GB2312" w:eastAsia="仿宋_GB2312" w:cs="仿宋_GB2312"/>
                <w:kern w:val="0"/>
                <w:sz w:val="24"/>
                <w:szCs w:val="24"/>
                <w:lang w:bidi="ar"/>
              </w:rPr>
            </w:pPr>
            <w:r>
              <w:rPr>
                <w:rFonts w:hint="eastAsia" w:ascii="仿宋" w:hAnsi="仿宋" w:eastAsia="仿宋" w:cs="仿宋"/>
                <w:i w:val="0"/>
                <w:iCs w:val="0"/>
                <w:color w:val="000000"/>
                <w:kern w:val="0"/>
                <w:sz w:val="24"/>
                <w:szCs w:val="24"/>
                <w:u w:val="none"/>
                <w:lang w:val="en-US" w:eastAsia="zh-CN" w:bidi="ar"/>
              </w:rPr>
              <w:t>27</w:t>
            </w:r>
          </w:p>
        </w:tc>
        <w:tc>
          <w:tcPr>
            <w:tcW w:w="1294" w:type="dxa"/>
            <w:tcBorders>
              <w:tl2br w:val="nil"/>
              <w:tr2bl w:val="nil"/>
            </w:tcBorders>
            <w:noWrap w:val="0"/>
            <w:vAlign w:val="center"/>
          </w:tcPr>
          <w:p w14:paraId="42F7941E">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数据应用服务</w:t>
            </w:r>
          </w:p>
        </w:tc>
        <w:tc>
          <w:tcPr>
            <w:tcW w:w="2732" w:type="dxa"/>
            <w:tcBorders>
              <w:tl2br w:val="nil"/>
              <w:tr2bl w:val="nil"/>
            </w:tcBorders>
            <w:noWrap w:val="0"/>
            <w:vAlign w:val="center"/>
          </w:tcPr>
          <w:p w14:paraId="0B0CB584">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一键连接ERP，即开即用，预置董事长、总经理、财务总监、营销总监、采购总监、生产总监、质量总监等大屏，涵盖关键经营管理指标模型，帮助企业快速洞察经营管理及信息化差距，持续用数据驱动业务优化与创新。</w:t>
            </w:r>
          </w:p>
        </w:tc>
        <w:tc>
          <w:tcPr>
            <w:tcW w:w="4980" w:type="dxa"/>
            <w:tcBorders>
              <w:tl2br w:val="nil"/>
              <w:tr2bl w:val="nil"/>
            </w:tcBorders>
            <w:noWrap w:val="0"/>
            <w:vAlign w:val="center"/>
          </w:tcPr>
          <w:p w14:paraId="390227AA">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用友数据应用服务提供数据集成、清洗、分析、报表生成及可视化展示等功能，支持企业决策制定和业务优化。</w:t>
            </w:r>
          </w:p>
        </w:tc>
        <w:tc>
          <w:tcPr>
            <w:tcW w:w="2868" w:type="dxa"/>
            <w:tcBorders>
              <w:tl2br w:val="nil"/>
              <w:tr2bl w:val="nil"/>
            </w:tcBorders>
            <w:noWrap w:val="0"/>
            <w:vAlign w:val="center"/>
          </w:tcPr>
          <w:p w14:paraId="633FB3DA">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5万元-50万元</w:t>
            </w:r>
          </w:p>
        </w:tc>
        <w:tc>
          <w:tcPr>
            <w:tcW w:w="710" w:type="dxa"/>
            <w:tcBorders>
              <w:tl2br w:val="nil"/>
              <w:tr2bl w:val="nil"/>
            </w:tcBorders>
            <w:noWrap w:val="0"/>
            <w:vAlign w:val="center"/>
          </w:tcPr>
          <w:p w14:paraId="67540B93">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p>
        </w:tc>
        <w:tc>
          <w:tcPr>
            <w:tcW w:w="881" w:type="dxa"/>
            <w:tcBorders>
              <w:tl2br w:val="nil"/>
              <w:tr2bl w:val="nil"/>
            </w:tcBorders>
            <w:noWrap w:val="0"/>
            <w:vAlign w:val="center"/>
          </w:tcPr>
          <w:p w14:paraId="1E2AFC79">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新增</w:t>
            </w:r>
          </w:p>
        </w:tc>
      </w:tr>
      <w:tr w14:paraId="54CBA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2" w:hRule="atLeast"/>
        </w:trPr>
        <w:tc>
          <w:tcPr>
            <w:tcW w:w="596" w:type="dxa"/>
            <w:tcBorders>
              <w:tl2br w:val="nil"/>
              <w:tr2bl w:val="nil"/>
            </w:tcBorders>
            <w:noWrap w:val="0"/>
            <w:vAlign w:val="center"/>
          </w:tcPr>
          <w:p w14:paraId="09C7ADC0">
            <w:pPr>
              <w:keepNext w:val="0"/>
              <w:keepLines w:val="0"/>
              <w:widowControl/>
              <w:suppressLineNumbers w:val="0"/>
              <w:jc w:val="center"/>
              <w:textAlignment w:val="center"/>
              <w:rPr>
                <w:rFonts w:hint="eastAsia" w:ascii="仿宋_GB2312" w:hAnsi="仿宋_GB2312" w:eastAsia="仿宋_GB2312" w:cs="仿宋_GB2312"/>
                <w:kern w:val="0"/>
                <w:sz w:val="24"/>
                <w:szCs w:val="24"/>
                <w:lang w:bidi="ar"/>
              </w:rPr>
            </w:pPr>
            <w:r>
              <w:rPr>
                <w:rFonts w:hint="eastAsia" w:ascii="仿宋" w:hAnsi="仿宋" w:eastAsia="仿宋" w:cs="仿宋"/>
                <w:i w:val="0"/>
                <w:iCs w:val="0"/>
                <w:color w:val="000000"/>
                <w:kern w:val="0"/>
                <w:sz w:val="24"/>
                <w:szCs w:val="24"/>
                <w:u w:val="none"/>
                <w:lang w:val="en-US" w:eastAsia="zh-CN" w:bidi="ar"/>
              </w:rPr>
              <w:t>28</w:t>
            </w:r>
          </w:p>
        </w:tc>
        <w:tc>
          <w:tcPr>
            <w:tcW w:w="1294" w:type="dxa"/>
            <w:tcBorders>
              <w:tl2br w:val="nil"/>
              <w:tr2bl w:val="nil"/>
            </w:tcBorders>
            <w:noWrap w:val="0"/>
            <w:vAlign w:val="center"/>
          </w:tcPr>
          <w:p w14:paraId="6EF3E3F2">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PLM Cloud</w:t>
            </w:r>
          </w:p>
        </w:tc>
        <w:tc>
          <w:tcPr>
            <w:tcW w:w="2732" w:type="dxa"/>
            <w:tcBorders>
              <w:tl2br w:val="nil"/>
              <w:tr2bl w:val="nil"/>
            </w:tcBorders>
            <w:noWrap w:val="0"/>
            <w:vAlign w:val="center"/>
          </w:tcPr>
          <w:p w14:paraId="32402D36">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PLM Cloud实现对物料自申请、创建、发布到变更、废止的全生命周期管理。对所有物料进行个性化分类管理和属性定义，对零部件实现ABC分析和分类归档整理。建立企业准确唯一的基础数据源，即建立统一的物料库，如标准件库、通用件库、专用件库、模块库、优选元器件库等。通过与ERP之间物料库的全属性互动，实现合理的选用控制，帮助企业减少新零件数，降低物料不合理库存。</w:t>
            </w:r>
          </w:p>
        </w:tc>
        <w:tc>
          <w:tcPr>
            <w:tcW w:w="4980" w:type="dxa"/>
            <w:tcBorders>
              <w:tl2br w:val="nil"/>
              <w:tr2bl w:val="nil"/>
            </w:tcBorders>
            <w:noWrap w:val="0"/>
            <w:vAlign w:val="center"/>
          </w:tcPr>
          <w:p w14:paraId="373201AC">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用友PLM Cloud提供产品数据管理、设计协同、变更管理、文档控制及生命周期管理等功能，助力企业高效管理产品开发流程。</w:t>
            </w:r>
          </w:p>
        </w:tc>
        <w:tc>
          <w:tcPr>
            <w:tcW w:w="2868" w:type="dxa"/>
            <w:tcBorders>
              <w:tl2br w:val="nil"/>
              <w:tr2bl w:val="nil"/>
            </w:tcBorders>
            <w:noWrap w:val="0"/>
            <w:vAlign w:val="center"/>
          </w:tcPr>
          <w:p w14:paraId="0AFF1AE8">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10万元-100万元</w:t>
            </w:r>
          </w:p>
        </w:tc>
        <w:tc>
          <w:tcPr>
            <w:tcW w:w="710" w:type="dxa"/>
            <w:tcBorders>
              <w:tl2br w:val="nil"/>
              <w:tr2bl w:val="nil"/>
            </w:tcBorders>
            <w:noWrap w:val="0"/>
            <w:vAlign w:val="center"/>
          </w:tcPr>
          <w:p w14:paraId="64B24A22">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p>
        </w:tc>
        <w:tc>
          <w:tcPr>
            <w:tcW w:w="881" w:type="dxa"/>
            <w:tcBorders>
              <w:tl2br w:val="nil"/>
              <w:tr2bl w:val="nil"/>
            </w:tcBorders>
            <w:noWrap w:val="0"/>
            <w:vAlign w:val="center"/>
          </w:tcPr>
          <w:p w14:paraId="5C6003AE">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新增</w:t>
            </w:r>
          </w:p>
        </w:tc>
      </w:tr>
      <w:tr w14:paraId="24FB1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6" w:hRule="atLeast"/>
        </w:trPr>
        <w:tc>
          <w:tcPr>
            <w:tcW w:w="596" w:type="dxa"/>
            <w:tcBorders>
              <w:tl2br w:val="nil"/>
              <w:tr2bl w:val="nil"/>
            </w:tcBorders>
            <w:noWrap w:val="0"/>
            <w:vAlign w:val="center"/>
          </w:tcPr>
          <w:p w14:paraId="0B9AC817">
            <w:pPr>
              <w:keepNext w:val="0"/>
              <w:keepLines w:val="0"/>
              <w:widowControl/>
              <w:suppressLineNumbers w:val="0"/>
              <w:jc w:val="center"/>
              <w:textAlignment w:val="center"/>
              <w:rPr>
                <w:rFonts w:hint="eastAsia" w:ascii="仿宋_GB2312" w:hAnsi="仿宋_GB2312" w:eastAsia="仿宋_GB2312" w:cs="仿宋_GB2312"/>
                <w:kern w:val="0"/>
                <w:sz w:val="24"/>
                <w:szCs w:val="24"/>
                <w:lang w:bidi="ar"/>
              </w:rPr>
            </w:pPr>
            <w:r>
              <w:rPr>
                <w:rFonts w:hint="eastAsia" w:ascii="仿宋" w:hAnsi="仿宋" w:eastAsia="仿宋" w:cs="仿宋"/>
                <w:i w:val="0"/>
                <w:iCs w:val="0"/>
                <w:color w:val="000000"/>
                <w:kern w:val="0"/>
                <w:sz w:val="24"/>
                <w:szCs w:val="24"/>
                <w:u w:val="none"/>
                <w:lang w:val="en-US" w:eastAsia="zh-CN" w:bidi="ar"/>
              </w:rPr>
              <w:t>29</w:t>
            </w:r>
          </w:p>
        </w:tc>
        <w:tc>
          <w:tcPr>
            <w:tcW w:w="1294" w:type="dxa"/>
            <w:tcBorders>
              <w:tl2br w:val="nil"/>
              <w:tr2bl w:val="nil"/>
            </w:tcBorders>
            <w:noWrap w:val="0"/>
            <w:vAlign w:val="center"/>
          </w:tcPr>
          <w:p w14:paraId="338B622E">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YonBIP</w:t>
            </w:r>
          </w:p>
        </w:tc>
        <w:tc>
          <w:tcPr>
            <w:tcW w:w="2732" w:type="dxa"/>
            <w:tcBorders>
              <w:tl2br w:val="nil"/>
              <w:tr2bl w:val="nil"/>
            </w:tcBorders>
            <w:noWrap w:val="0"/>
            <w:vAlign w:val="center"/>
          </w:tcPr>
          <w:p w14:paraId="57DFB615">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YonBIP基于最新的大数据、人工智能、云计算、物联网 &amp;5G、移动互联网、区块链等数智技术，采用云原生(微服务)、元数据驱动、中台化、数用分离等新一代技术架构，构建技术平台、数据中台、智能中台和业务中台，并聚焦营销、采购、制造、供应链、金融、财务、人力、协同等八大核心领域，全面支撑企业运营管理与产业价值链协同，赋能企业商业创新，推动社会商业进步。</w:t>
            </w:r>
          </w:p>
        </w:tc>
        <w:tc>
          <w:tcPr>
            <w:tcW w:w="4980" w:type="dxa"/>
            <w:tcBorders>
              <w:tl2br w:val="nil"/>
              <w:tr2bl w:val="nil"/>
            </w:tcBorders>
            <w:noWrap w:val="0"/>
            <w:vAlign w:val="center"/>
          </w:tcPr>
          <w:p w14:paraId="62C1D28D">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用友YonBIP提供财务管理、供应链管理、生产制造、人力资源、CRM、项目管理、数据分析及协同办公等功能，支持企业数字化转型。</w:t>
            </w:r>
          </w:p>
        </w:tc>
        <w:tc>
          <w:tcPr>
            <w:tcW w:w="2868" w:type="dxa"/>
            <w:tcBorders>
              <w:tl2br w:val="nil"/>
              <w:tr2bl w:val="nil"/>
            </w:tcBorders>
            <w:noWrap w:val="0"/>
            <w:vAlign w:val="center"/>
          </w:tcPr>
          <w:p w14:paraId="2078ACDC">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50万元-600万元</w:t>
            </w:r>
          </w:p>
        </w:tc>
        <w:tc>
          <w:tcPr>
            <w:tcW w:w="710" w:type="dxa"/>
            <w:tcBorders>
              <w:tl2br w:val="nil"/>
              <w:tr2bl w:val="nil"/>
            </w:tcBorders>
            <w:noWrap w:val="0"/>
            <w:vAlign w:val="center"/>
          </w:tcPr>
          <w:p w14:paraId="6C0ADC31">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p>
        </w:tc>
        <w:tc>
          <w:tcPr>
            <w:tcW w:w="881" w:type="dxa"/>
            <w:tcBorders>
              <w:tl2br w:val="nil"/>
              <w:tr2bl w:val="nil"/>
            </w:tcBorders>
            <w:noWrap w:val="0"/>
            <w:vAlign w:val="center"/>
          </w:tcPr>
          <w:p w14:paraId="541DA301">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新增</w:t>
            </w:r>
          </w:p>
        </w:tc>
      </w:tr>
      <w:tr w14:paraId="4EED2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trPr>
        <w:tc>
          <w:tcPr>
            <w:tcW w:w="596" w:type="dxa"/>
            <w:tcBorders>
              <w:tl2br w:val="nil"/>
              <w:tr2bl w:val="nil"/>
            </w:tcBorders>
            <w:noWrap w:val="0"/>
            <w:vAlign w:val="center"/>
          </w:tcPr>
          <w:p w14:paraId="1F02267C">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cs="仿宋"/>
                <w:i w:val="0"/>
                <w:iCs w:val="0"/>
                <w:color w:val="000000"/>
                <w:kern w:val="0"/>
                <w:sz w:val="24"/>
                <w:szCs w:val="24"/>
                <w:u w:val="none"/>
                <w:lang w:val="en-US" w:eastAsia="zh-CN" w:bidi="ar"/>
              </w:rPr>
              <w:t>30</w:t>
            </w:r>
          </w:p>
        </w:tc>
        <w:tc>
          <w:tcPr>
            <w:tcW w:w="1294" w:type="dxa"/>
            <w:tcBorders>
              <w:tl2br w:val="nil"/>
              <w:tr2bl w:val="nil"/>
            </w:tcBorders>
            <w:noWrap w:val="0"/>
            <w:vAlign w:val="center"/>
          </w:tcPr>
          <w:p w14:paraId="0E1D07D4">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金蝶云星空</w:t>
            </w:r>
          </w:p>
        </w:tc>
        <w:tc>
          <w:tcPr>
            <w:tcW w:w="2732" w:type="dxa"/>
            <w:tcBorders>
              <w:tl2br w:val="nil"/>
              <w:tr2bl w:val="nil"/>
            </w:tcBorders>
            <w:noWrap w:val="0"/>
            <w:vAlign w:val="center"/>
          </w:tcPr>
          <w:p w14:paraId="11EC21AC">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为中小型制造企业提供完善的企业资源计划管理解决方案，辅助搭建敏捷、高效、灵活的供应链计划体系，实现产销平衡、收支平衡，帮助企业管理做出决策与改善指标，有效提升企业管理效率，提高准确度与及时性。</w:t>
            </w:r>
          </w:p>
        </w:tc>
        <w:tc>
          <w:tcPr>
            <w:tcW w:w="4980" w:type="dxa"/>
            <w:tcBorders>
              <w:tl2br w:val="nil"/>
              <w:tr2bl w:val="nil"/>
            </w:tcBorders>
            <w:noWrap w:val="0"/>
            <w:vAlign w:val="center"/>
          </w:tcPr>
          <w:p w14:paraId="737906A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1、财务云：总账、智能会计平台、费用报销、资金管理、预算管理、存货核算、成本核算、经营会计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2、供应链云：采购管理、销售管理、库存管理、信用管理、组织间结算、条码管理、VMI管理、协同平台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3、PLM云：系统建模、研发管理、物料标准化、BOM管理、文档管理、变更管理、软件集成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4、制造云：工程数据、计划管理、生产管理、委外管理、车间管理、质量管理、生产线生产</w:t>
            </w:r>
          </w:p>
        </w:tc>
        <w:tc>
          <w:tcPr>
            <w:tcW w:w="2868" w:type="dxa"/>
            <w:tcBorders>
              <w:tl2br w:val="nil"/>
              <w:tr2bl w:val="nil"/>
            </w:tcBorders>
            <w:noWrap w:val="0"/>
            <w:vAlign w:val="center"/>
          </w:tcPr>
          <w:p w14:paraId="4114AEF8">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10万元-100万元</w:t>
            </w:r>
          </w:p>
        </w:tc>
        <w:tc>
          <w:tcPr>
            <w:tcW w:w="710" w:type="dxa"/>
            <w:tcBorders>
              <w:tl2br w:val="nil"/>
              <w:tr2bl w:val="nil"/>
            </w:tcBorders>
            <w:noWrap w:val="0"/>
            <w:vAlign w:val="center"/>
          </w:tcPr>
          <w:p w14:paraId="392D8331">
            <w:pPr>
              <w:keepNext w:val="0"/>
              <w:keepLines w:val="0"/>
              <w:widowControl/>
              <w:suppressLineNumbers w:val="0"/>
              <w:jc w:val="left"/>
              <w:textAlignment w:val="center"/>
              <w:rPr>
                <w:rFonts w:hint="eastAsia" w:ascii="仿宋_GB2312" w:hAnsi="宋体" w:eastAsia="仿宋_GB2312" w:cs="仿宋_GB2312"/>
                <w:color w:val="000000"/>
                <w:kern w:val="0"/>
                <w:sz w:val="22"/>
                <w:szCs w:val="22"/>
                <w:lang w:bidi="ar"/>
              </w:rPr>
            </w:pPr>
          </w:p>
        </w:tc>
        <w:tc>
          <w:tcPr>
            <w:tcW w:w="881" w:type="dxa"/>
            <w:tcBorders>
              <w:tl2br w:val="nil"/>
              <w:tr2bl w:val="nil"/>
            </w:tcBorders>
            <w:noWrap w:val="0"/>
            <w:vAlign w:val="center"/>
          </w:tcPr>
          <w:p w14:paraId="0E48B5AE">
            <w:pPr>
              <w:keepNext w:val="0"/>
              <w:keepLines w:val="0"/>
              <w:widowControl/>
              <w:suppressLineNumbers w:val="0"/>
              <w:jc w:val="left"/>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新增</w:t>
            </w:r>
          </w:p>
        </w:tc>
      </w:tr>
    </w:tbl>
    <w:p w14:paraId="59551FB6">
      <w:pPr>
        <w:jc w:val="both"/>
        <w:rPr>
          <w:rFonts w:ascii="仿宋_GB2312" w:hAnsi="仿宋_GB2312" w:eastAsia="仿宋_GB2312" w:cs="仿宋_GB2312"/>
          <w:bCs/>
          <w:sz w:val="32"/>
          <w:szCs w:val="32"/>
        </w:rPr>
      </w:pPr>
    </w:p>
    <w:sectPr>
      <w:pgSz w:w="16838" w:h="11906" w:orient="landscape"/>
      <w:pgMar w:top="1588" w:right="1202" w:bottom="1078" w:left="1202"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Helvetica Neue">
    <w:altName w:val="Webdings"/>
    <w:panose1 w:val="00000000000000000000"/>
    <w:charset w:val="00"/>
    <w:family w:val="auto"/>
    <w:pitch w:val="default"/>
    <w:sig w:usb0="00000000" w:usb1="00000000" w:usb2="00000010" w:usb3="00000000" w:csb0="00000000" w:csb1="00000000"/>
  </w:font>
  <w:font w:name="Webdings">
    <w:panose1 w:val="05030102010509060703"/>
    <w:charset w:val="00"/>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6CAB2">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2" name="文本框 5"/>
              <wp:cNvGraphicFramePr/>
              <a:graphic xmlns:a="http://schemas.openxmlformats.org/drawingml/2006/main">
                <a:graphicData uri="http://schemas.microsoft.com/office/word/2010/wordprocessingShape">
                  <wps:wsp>
                    <wps:cNvSpPr>
                      <a:spLocks noChangeArrowheads="1"/>
                    </wps:cNvSpPr>
                    <wps:spPr bwMode="auto">
                      <a:xfrm>
                        <a:off x="0" y="0"/>
                        <a:ext cx="58420" cy="139700"/>
                      </a:xfrm>
                      <a:prstGeom prst="rect">
                        <a:avLst/>
                      </a:prstGeom>
                      <a:noFill/>
                      <a:ln>
                        <a:noFill/>
                      </a:ln>
                      <a:effectLst/>
                    </wps:spPr>
                    <wps:txbx>
                      <w:txbxContent>
                        <w:p w14:paraId="04921C99">
                          <w:pPr>
                            <w:snapToGrid w:val="0"/>
                            <w:rPr>
                              <w:sz w:val="18"/>
                            </w:rPr>
                          </w:pPr>
                          <w:r>
                            <w:rPr>
                              <w:sz w:val="18"/>
                            </w:rPr>
                            <w:fldChar w:fldCharType="begin"/>
                          </w:r>
                          <w:r>
                            <w:rPr>
                              <w:sz w:val="18"/>
                            </w:rPr>
                            <w:instrText xml:space="preserve"> PAGE  \* MERGEFORMAT </w:instrText>
                          </w:r>
                          <w:r>
                            <w:rPr>
                              <w:sz w:val="18"/>
                            </w:rPr>
                            <w:fldChar w:fldCharType="separate"/>
                          </w:r>
                          <w:r>
                            <w:rPr>
                              <w:sz w:val="18"/>
                            </w:rPr>
                            <w:t>13</w:t>
                          </w:r>
                          <w:r>
                            <w:rPr>
                              <w:sz w:val="18"/>
                            </w:rPr>
                            <w:fldChar w:fldCharType="end"/>
                          </w:r>
                        </w:p>
                      </w:txbxContent>
                    </wps:txbx>
                    <wps:bodyPr rot="0" vert="horz" wrap="none" lIns="0" tIns="0" rIns="0" bIns="0" anchor="t" anchorCtr="0" upright="1">
                      <a:spAutoFit/>
                    </wps:bodyPr>
                  </wps:wsp>
                </a:graphicData>
              </a:graphic>
            </wp:anchor>
          </w:drawing>
        </mc:Choice>
        <mc:Fallback>
          <w:pict>
            <v:rect id="文本框 5" o:spid="_x0000_s1026" o:spt="1"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Rxltl0AAAAAIBAAAPAAAAAAAAAAEAIAAAACIAAABkcnMvZG93&#10;bnJldi54bWxQSwECFAAUAAAACACHTuJA36oXMggCAAAFBAAADgAAAAAAAAABACAAAAAfAQAAZHJz&#10;L2Uyb0RvYy54bWxQSwUGAAAAAAYABgBZAQAAmQUAAAAA&#10;">
              <v:fill on="f" focussize="0,0"/>
              <v:stroke on="f"/>
              <v:imagedata o:title=""/>
              <o:lock v:ext="edit" aspectratio="f"/>
              <v:textbox inset="0mm,0mm,0mm,0mm" style="mso-fit-shape-to-text:t;">
                <w:txbxContent>
                  <w:p w14:paraId="04921C99">
                    <w:pPr>
                      <w:snapToGrid w:val="0"/>
                      <w:rPr>
                        <w:sz w:val="18"/>
                      </w:rPr>
                    </w:pPr>
                    <w:r>
                      <w:rPr>
                        <w:sz w:val="18"/>
                      </w:rPr>
                      <w:fldChar w:fldCharType="begin"/>
                    </w:r>
                    <w:r>
                      <w:rPr>
                        <w:sz w:val="18"/>
                      </w:rPr>
                      <w:instrText xml:space="preserve"> PAGE  \* MERGEFORMAT </w:instrText>
                    </w:r>
                    <w:r>
                      <w:rPr>
                        <w:sz w:val="18"/>
                      </w:rPr>
                      <w:fldChar w:fldCharType="separate"/>
                    </w:r>
                    <w:r>
                      <w:rPr>
                        <w:sz w:val="18"/>
                      </w:rPr>
                      <w:t>13</w:t>
                    </w:r>
                    <w:r>
                      <w:rPr>
                        <w:sz w:val="1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54968"/>
    <w:multiLevelType w:val="multilevel"/>
    <w:tmpl w:val="8DF54968"/>
    <w:lvl w:ilvl="0" w:tentative="0">
      <w:start w:val="6"/>
      <w:numFmt w:val="chineseCounting"/>
      <w:pStyle w:val="8"/>
      <w:suff w:val="nothing"/>
      <w:lvlText w:val="%1、"/>
      <w:lvlJc w:val="left"/>
      <w:pPr>
        <w:tabs>
          <w:tab w:val="left" w:pos="0"/>
        </w:tabs>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1EEFF29E"/>
    <w:multiLevelType w:val="singleLevel"/>
    <w:tmpl w:val="1EEFF29E"/>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HorizontalSpacing w:val="140"/>
  <w:drawingGridVerticalSpacing w:val="381"/>
  <w:displayHorizontalDrawingGridEvery w:val="1"/>
  <w:displayVerticalDrawingGridEvery w:val="1"/>
  <w:noPunctuationKerning w:val="1"/>
  <w:characterSpacingControl w:val="doNotCompress"/>
  <w:compat>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4ZGI2NjVjOWYxN2M4ZDk2NjQxMDI4MmUxOTM0YTMifQ=="/>
  </w:docVars>
  <w:rsids>
    <w:rsidRoot w:val="00172A27"/>
    <w:rsid w:val="0000165E"/>
    <w:rsid w:val="000021FA"/>
    <w:rsid w:val="00010735"/>
    <w:rsid w:val="0002699B"/>
    <w:rsid w:val="00037AF8"/>
    <w:rsid w:val="00052D6C"/>
    <w:rsid w:val="00061F0F"/>
    <w:rsid w:val="00073A45"/>
    <w:rsid w:val="000813C3"/>
    <w:rsid w:val="0008711B"/>
    <w:rsid w:val="000916DF"/>
    <w:rsid w:val="000A7129"/>
    <w:rsid w:val="000B76F9"/>
    <w:rsid w:val="000C0350"/>
    <w:rsid w:val="000D09AD"/>
    <w:rsid w:val="000D4179"/>
    <w:rsid w:val="000D5C4B"/>
    <w:rsid w:val="000F0B30"/>
    <w:rsid w:val="000F258E"/>
    <w:rsid w:val="000F4936"/>
    <w:rsid w:val="00104C2A"/>
    <w:rsid w:val="00113F64"/>
    <w:rsid w:val="00115723"/>
    <w:rsid w:val="001166EB"/>
    <w:rsid w:val="00121E17"/>
    <w:rsid w:val="00122771"/>
    <w:rsid w:val="001258BE"/>
    <w:rsid w:val="0013253E"/>
    <w:rsid w:val="00155AF2"/>
    <w:rsid w:val="00163F10"/>
    <w:rsid w:val="00164B98"/>
    <w:rsid w:val="00166AA2"/>
    <w:rsid w:val="00190A83"/>
    <w:rsid w:val="001A432E"/>
    <w:rsid w:val="001A4A4E"/>
    <w:rsid w:val="001C2622"/>
    <w:rsid w:val="001C2C43"/>
    <w:rsid w:val="001C3556"/>
    <w:rsid w:val="001C3765"/>
    <w:rsid w:val="001F5409"/>
    <w:rsid w:val="00223748"/>
    <w:rsid w:val="002300A9"/>
    <w:rsid w:val="002440DD"/>
    <w:rsid w:val="002576A6"/>
    <w:rsid w:val="002717B1"/>
    <w:rsid w:val="00272836"/>
    <w:rsid w:val="00280521"/>
    <w:rsid w:val="0028435F"/>
    <w:rsid w:val="00292D15"/>
    <w:rsid w:val="002A18E8"/>
    <w:rsid w:val="002A39F5"/>
    <w:rsid w:val="002B697C"/>
    <w:rsid w:val="002C1AD3"/>
    <w:rsid w:val="002C29D5"/>
    <w:rsid w:val="002E63C6"/>
    <w:rsid w:val="002F4E00"/>
    <w:rsid w:val="002F56BA"/>
    <w:rsid w:val="003038CD"/>
    <w:rsid w:val="00337F4B"/>
    <w:rsid w:val="00343A3A"/>
    <w:rsid w:val="00347D34"/>
    <w:rsid w:val="00354BFF"/>
    <w:rsid w:val="003553E2"/>
    <w:rsid w:val="003556E1"/>
    <w:rsid w:val="00356311"/>
    <w:rsid w:val="0037320A"/>
    <w:rsid w:val="0037471C"/>
    <w:rsid w:val="003760D2"/>
    <w:rsid w:val="00384BF7"/>
    <w:rsid w:val="003943E4"/>
    <w:rsid w:val="00394F74"/>
    <w:rsid w:val="00397274"/>
    <w:rsid w:val="003A49B9"/>
    <w:rsid w:val="003C2A24"/>
    <w:rsid w:val="003C3E59"/>
    <w:rsid w:val="003C689E"/>
    <w:rsid w:val="003D098D"/>
    <w:rsid w:val="003D2254"/>
    <w:rsid w:val="003D3F2E"/>
    <w:rsid w:val="003E1487"/>
    <w:rsid w:val="003F378F"/>
    <w:rsid w:val="003F6FC7"/>
    <w:rsid w:val="00416DC8"/>
    <w:rsid w:val="00417649"/>
    <w:rsid w:val="0041799D"/>
    <w:rsid w:val="00421623"/>
    <w:rsid w:val="0042429E"/>
    <w:rsid w:val="0042515A"/>
    <w:rsid w:val="00425710"/>
    <w:rsid w:val="00430730"/>
    <w:rsid w:val="00434694"/>
    <w:rsid w:val="00435C2B"/>
    <w:rsid w:val="0043714A"/>
    <w:rsid w:val="004415B5"/>
    <w:rsid w:val="00442E3E"/>
    <w:rsid w:val="00447E6D"/>
    <w:rsid w:val="0045584D"/>
    <w:rsid w:val="00467162"/>
    <w:rsid w:val="0047330A"/>
    <w:rsid w:val="004804BC"/>
    <w:rsid w:val="0048379F"/>
    <w:rsid w:val="004840B2"/>
    <w:rsid w:val="004B168E"/>
    <w:rsid w:val="004D0238"/>
    <w:rsid w:val="004F391C"/>
    <w:rsid w:val="004F4DB0"/>
    <w:rsid w:val="004F65BA"/>
    <w:rsid w:val="00514AA8"/>
    <w:rsid w:val="00526EDD"/>
    <w:rsid w:val="00527257"/>
    <w:rsid w:val="005444DF"/>
    <w:rsid w:val="00547B21"/>
    <w:rsid w:val="005545C9"/>
    <w:rsid w:val="00560D34"/>
    <w:rsid w:val="00566076"/>
    <w:rsid w:val="0057650B"/>
    <w:rsid w:val="00581BBD"/>
    <w:rsid w:val="005847EE"/>
    <w:rsid w:val="00593EC5"/>
    <w:rsid w:val="0059673A"/>
    <w:rsid w:val="005B5CE8"/>
    <w:rsid w:val="005C02B3"/>
    <w:rsid w:val="005C6263"/>
    <w:rsid w:val="005D39EF"/>
    <w:rsid w:val="005F1026"/>
    <w:rsid w:val="00600E22"/>
    <w:rsid w:val="00602AA4"/>
    <w:rsid w:val="00602CBA"/>
    <w:rsid w:val="006171B0"/>
    <w:rsid w:val="00624259"/>
    <w:rsid w:val="00625C30"/>
    <w:rsid w:val="006318F2"/>
    <w:rsid w:val="0063303F"/>
    <w:rsid w:val="00650831"/>
    <w:rsid w:val="00654D56"/>
    <w:rsid w:val="0065629C"/>
    <w:rsid w:val="00663471"/>
    <w:rsid w:val="00663CC4"/>
    <w:rsid w:val="006676C0"/>
    <w:rsid w:val="00667C31"/>
    <w:rsid w:val="0068447C"/>
    <w:rsid w:val="00696B25"/>
    <w:rsid w:val="006A1DA0"/>
    <w:rsid w:val="006A2B77"/>
    <w:rsid w:val="006B1BC6"/>
    <w:rsid w:val="006B3EC7"/>
    <w:rsid w:val="006B43F1"/>
    <w:rsid w:val="006D0C8E"/>
    <w:rsid w:val="006D3184"/>
    <w:rsid w:val="006D7404"/>
    <w:rsid w:val="006E2937"/>
    <w:rsid w:val="006E2AE3"/>
    <w:rsid w:val="00704A60"/>
    <w:rsid w:val="00706EA3"/>
    <w:rsid w:val="00714279"/>
    <w:rsid w:val="00716866"/>
    <w:rsid w:val="00726DAA"/>
    <w:rsid w:val="00736D06"/>
    <w:rsid w:val="00740187"/>
    <w:rsid w:val="00740880"/>
    <w:rsid w:val="00740DCE"/>
    <w:rsid w:val="00742196"/>
    <w:rsid w:val="00742957"/>
    <w:rsid w:val="0074513B"/>
    <w:rsid w:val="00752F14"/>
    <w:rsid w:val="00767420"/>
    <w:rsid w:val="007701E8"/>
    <w:rsid w:val="00774967"/>
    <w:rsid w:val="0078245B"/>
    <w:rsid w:val="007848D3"/>
    <w:rsid w:val="00785C9F"/>
    <w:rsid w:val="00787FB9"/>
    <w:rsid w:val="0079225D"/>
    <w:rsid w:val="007A2A7D"/>
    <w:rsid w:val="007A7DA5"/>
    <w:rsid w:val="007B01A9"/>
    <w:rsid w:val="007B1EA2"/>
    <w:rsid w:val="007B378B"/>
    <w:rsid w:val="007C422C"/>
    <w:rsid w:val="007C6171"/>
    <w:rsid w:val="007D408B"/>
    <w:rsid w:val="007F1B9F"/>
    <w:rsid w:val="008016B1"/>
    <w:rsid w:val="00805F55"/>
    <w:rsid w:val="00813673"/>
    <w:rsid w:val="008204BB"/>
    <w:rsid w:val="00821B1A"/>
    <w:rsid w:val="00824199"/>
    <w:rsid w:val="00826A0F"/>
    <w:rsid w:val="00842DEF"/>
    <w:rsid w:val="00852B48"/>
    <w:rsid w:val="00854664"/>
    <w:rsid w:val="008649CC"/>
    <w:rsid w:val="008857C4"/>
    <w:rsid w:val="0088674B"/>
    <w:rsid w:val="008975D5"/>
    <w:rsid w:val="008A4104"/>
    <w:rsid w:val="008C0828"/>
    <w:rsid w:val="008D2CF6"/>
    <w:rsid w:val="008D46DE"/>
    <w:rsid w:val="008D575E"/>
    <w:rsid w:val="008F13BE"/>
    <w:rsid w:val="008F5679"/>
    <w:rsid w:val="008F6FC6"/>
    <w:rsid w:val="008F79B4"/>
    <w:rsid w:val="009043E0"/>
    <w:rsid w:val="009225E4"/>
    <w:rsid w:val="00933C12"/>
    <w:rsid w:val="00934DE3"/>
    <w:rsid w:val="00936054"/>
    <w:rsid w:val="00941605"/>
    <w:rsid w:val="00941E51"/>
    <w:rsid w:val="009435DE"/>
    <w:rsid w:val="009738AE"/>
    <w:rsid w:val="0097535E"/>
    <w:rsid w:val="00975DE8"/>
    <w:rsid w:val="009807AB"/>
    <w:rsid w:val="009828CE"/>
    <w:rsid w:val="009B067F"/>
    <w:rsid w:val="009B1C0C"/>
    <w:rsid w:val="009B3968"/>
    <w:rsid w:val="009B4E34"/>
    <w:rsid w:val="009C2D48"/>
    <w:rsid w:val="009E26D9"/>
    <w:rsid w:val="009F3A2A"/>
    <w:rsid w:val="009F3D48"/>
    <w:rsid w:val="009F432F"/>
    <w:rsid w:val="009F5603"/>
    <w:rsid w:val="00A02C85"/>
    <w:rsid w:val="00A20F33"/>
    <w:rsid w:val="00A21DD6"/>
    <w:rsid w:val="00A2707A"/>
    <w:rsid w:val="00A546D4"/>
    <w:rsid w:val="00A54A3C"/>
    <w:rsid w:val="00A55F9E"/>
    <w:rsid w:val="00A72DF5"/>
    <w:rsid w:val="00A85A38"/>
    <w:rsid w:val="00A878C8"/>
    <w:rsid w:val="00A91885"/>
    <w:rsid w:val="00A964EF"/>
    <w:rsid w:val="00A97A0A"/>
    <w:rsid w:val="00AA0DC8"/>
    <w:rsid w:val="00AB5D12"/>
    <w:rsid w:val="00AD0A57"/>
    <w:rsid w:val="00AD0B86"/>
    <w:rsid w:val="00AD60E8"/>
    <w:rsid w:val="00AF1E04"/>
    <w:rsid w:val="00AF2CF2"/>
    <w:rsid w:val="00AF4963"/>
    <w:rsid w:val="00AF5A89"/>
    <w:rsid w:val="00B22643"/>
    <w:rsid w:val="00B26B8C"/>
    <w:rsid w:val="00B531A2"/>
    <w:rsid w:val="00B53CD7"/>
    <w:rsid w:val="00B60772"/>
    <w:rsid w:val="00B60774"/>
    <w:rsid w:val="00B664C0"/>
    <w:rsid w:val="00B717C3"/>
    <w:rsid w:val="00B7622E"/>
    <w:rsid w:val="00B8020A"/>
    <w:rsid w:val="00B82C64"/>
    <w:rsid w:val="00B85E58"/>
    <w:rsid w:val="00B95A06"/>
    <w:rsid w:val="00BA1C38"/>
    <w:rsid w:val="00BA4F2B"/>
    <w:rsid w:val="00BC1706"/>
    <w:rsid w:val="00BC21D2"/>
    <w:rsid w:val="00BC344F"/>
    <w:rsid w:val="00BC45AE"/>
    <w:rsid w:val="00BD68B2"/>
    <w:rsid w:val="00BD7153"/>
    <w:rsid w:val="00BE06BA"/>
    <w:rsid w:val="00BE1094"/>
    <w:rsid w:val="00BF1A4E"/>
    <w:rsid w:val="00BF463B"/>
    <w:rsid w:val="00BF5D39"/>
    <w:rsid w:val="00C00B26"/>
    <w:rsid w:val="00C0105C"/>
    <w:rsid w:val="00C217BB"/>
    <w:rsid w:val="00C249C3"/>
    <w:rsid w:val="00C32BBF"/>
    <w:rsid w:val="00C36664"/>
    <w:rsid w:val="00C373CE"/>
    <w:rsid w:val="00C438BE"/>
    <w:rsid w:val="00C447A4"/>
    <w:rsid w:val="00C571F1"/>
    <w:rsid w:val="00C656D7"/>
    <w:rsid w:val="00C67598"/>
    <w:rsid w:val="00C763FD"/>
    <w:rsid w:val="00C80119"/>
    <w:rsid w:val="00CA0827"/>
    <w:rsid w:val="00CA268A"/>
    <w:rsid w:val="00CA4F77"/>
    <w:rsid w:val="00CA6ECD"/>
    <w:rsid w:val="00CB079C"/>
    <w:rsid w:val="00CB39A2"/>
    <w:rsid w:val="00CC577B"/>
    <w:rsid w:val="00CD1156"/>
    <w:rsid w:val="00CD52F2"/>
    <w:rsid w:val="00CE62B3"/>
    <w:rsid w:val="00CF12AF"/>
    <w:rsid w:val="00D03DBB"/>
    <w:rsid w:val="00D0592F"/>
    <w:rsid w:val="00D10AC6"/>
    <w:rsid w:val="00D136D4"/>
    <w:rsid w:val="00D2402C"/>
    <w:rsid w:val="00D31B1C"/>
    <w:rsid w:val="00D3474B"/>
    <w:rsid w:val="00D35A08"/>
    <w:rsid w:val="00D37AE1"/>
    <w:rsid w:val="00D41ED9"/>
    <w:rsid w:val="00D5022A"/>
    <w:rsid w:val="00D57981"/>
    <w:rsid w:val="00D57E63"/>
    <w:rsid w:val="00D659DB"/>
    <w:rsid w:val="00D66E55"/>
    <w:rsid w:val="00D95AB2"/>
    <w:rsid w:val="00DB1F1C"/>
    <w:rsid w:val="00DB3C97"/>
    <w:rsid w:val="00DB45A5"/>
    <w:rsid w:val="00DC0A60"/>
    <w:rsid w:val="00DC53BA"/>
    <w:rsid w:val="00DD1D1C"/>
    <w:rsid w:val="00DD5A8A"/>
    <w:rsid w:val="00DD5DF3"/>
    <w:rsid w:val="00DF6BD1"/>
    <w:rsid w:val="00E00258"/>
    <w:rsid w:val="00E0709B"/>
    <w:rsid w:val="00E16E04"/>
    <w:rsid w:val="00E20082"/>
    <w:rsid w:val="00E20805"/>
    <w:rsid w:val="00E26FDE"/>
    <w:rsid w:val="00E274ED"/>
    <w:rsid w:val="00E514F2"/>
    <w:rsid w:val="00E5377A"/>
    <w:rsid w:val="00E601C7"/>
    <w:rsid w:val="00E62A74"/>
    <w:rsid w:val="00E749A8"/>
    <w:rsid w:val="00E94225"/>
    <w:rsid w:val="00E97172"/>
    <w:rsid w:val="00EB0AA0"/>
    <w:rsid w:val="00EB0F54"/>
    <w:rsid w:val="00EB674E"/>
    <w:rsid w:val="00EC2FDD"/>
    <w:rsid w:val="00EC4A7D"/>
    <w:rsid w:val="00ED5C37"/>
    <w:rsid w:val="00EE1050"/>
    <w:rsid w:val="00EE4D20"/>
    <w:rsid w:val="00EE5337"/>
    <w:rsid w:val="00EF05FA"/>
    <w:rsid w:val="00F056DA"/>
    <w:rsid w:val="00F20DF5"/>
    <w:rsid w:val="00F33493"/>
    <w:rsid w:val="00F413CB"/>
    <w:rsid w:val="00F52A8D"/>
    <w:rsid w:val="00F53F14"/>
    <w:rsid w:val="00F63130"/>
    <w:rsid w:val="00F6578A"/>
    <w:rsid w:val="00F70F5E"/>
    <w:rsid w:val="00F71EEE"/>
    <w:rsid w:val="00F83F5D"/>
    <w:rsid w:val="00F94AB8"/>
    <w:rsid w:val="00FA25BF"/>
    <w:rsid w:val="00FA4332"/>
    <w:rsid w:val="00FA7617"/>
    <w:rsid w:val="00FB0537"/>
    <w:rsid w:val="00FB5430"/>
    <w:rsid w:val="00FC4A25"/>
    <w:rsid w:val="00FE5055"/>
    <w:rsid w:val="00FE5212"/>
    <w:rsid w:val="00FF0E2D"/>
    <w:rsid w:val="01F114A6"/>
    <w:rsid w:val="02C5CCB7"/>
    <w:rsid w:val="02CB0A0A"/>
    <w:rsid w:val="054A784B"/>
    <w:rsid w:val="057522D4"/>
    <w:rsid w:val="06314567"/>
    <w:rsid w:val="06986394"/>
    <w:rsid w:val="070FF518"/>
    <w:rsid w:val="0774295E"/>
    <w:rsid w:val="07CF6501"/>
    <w:rsid w:val="086D4461"/>
    <w:rsid w:val="09DC163D"/>
    <w:rsid w:val="0A636732"/>
    <w:rsid w:val="0A85669C"/>
    <w:rsid w:val="0AF53DB5"/>
    <w:rsid w:val="0B236729"/>
    <w:rsid w:val="0C373769"/>
    <w:rsid w:val="0E77636A"/>
    <w:rsid w:val="1182211B"/>
    <w:rsid w:val="11B20A9E"/>
    <w:rsid w:val="121C3BB0"/>
    <w:rsid w:val="129B50B3"/>
    <w:rsid w:val="13C94031"/>
    <w:rsid w:val="14C57BD3"/>
    <w:rsid w:val="14DB226E"/>
    <w:rsid w:val="158E5868"/>
    <w:rsid w:val="164D0F49"/>
    <w:rsid w:val="16836F0A"/>
    <w:rsid w:val="174A2BA6"/>
    <w:rsid w:val="178106A8"/>
    <w:rsid w:val="18CE4EA5"/>
    <w:rsid w:val="192760B3"/>
    <w:rsid w:val="1A976858"/>
    <w:rsid w:val="1B5D3A44"/>
    <w:rsid w:val="1C1B401C"/>
    <w:rsid w:val="1C68096C"/>
    <w:rsid w:val="1DAC0C4B"/>
    <w:rsid w:val="1DB3BDD9"/>
    <w:rsid w:val="1E110AAE"/>
    <w:rsid w:val="1EAD20AA"/>
    <w:rsid w:val="1ED17600"/>
    <w:rsid w:val="1EEF4B70"/>
    <w:rsid w:val="2079293B"/>
    <w:rsid w:val="20B85440"/>
    <w:rsid w:val="20B95576"/>
    <w:rsid w:val="212C2C82"/>
    <w:rsid w:val="216C2A53"/>
    <w:rsid w:val="227B464E"/>
    <w:rsid w:val="22DE013F"/>
    <w:rsid w:val="231E4B10"/>
    <w:rsid w:val="23226CC1"/>
    <w:rsid w:val="23AE58BE"/>
    <w:rsid w:val="23BD70CF"/>
    <w:rsid w:val="23CB5BA3"/>
    <w:rsid w:val="248868FE"/>
    <w:rsid w:val="26DB7EAB"/>
    <w:rsid w:val="28472F88"/>
    <w:rsid w:val="29491A44"/>
    <w:rsid w:val="29995DFC"/>
    <w:rsid w:val="2AD6748B"/>
    <w:rsid w:val="2C570682"/>
    <w:rsid w:val="2CB0732E"/>
    <w:rsid w:val="2D041D26"/>
    <w:rsid w:val="2F2919D0"/>
    <w:rsid w:val="2FA01113"/>
    <w:rsid w:val="318D4498"/>
    <w:rsid w:val="31B61C41"/>
    <w:rsid w:val="32987C10"/>
    <w:rsid w:val="33013899"/>
    <w:rsid w:val="331971C9"/>
    <w:rsid w:val="333C7D1C"/>
    <w:rsid w:val="33FE167D"/>
    <w:rsid w:val="34630B42"/>
    <w:rsid w:val="34ED648C"/>
    <w:rsid w:val="36F34D9D"/>
    <w:rsid w:val="375A1547"/>
    <w:rsid w:val="379A1D82"/>
    <w:rsid w:val="37FF5F14"/>
    <w:rsid w:val="381E4C82"/>
    <w:rsid w:val="387C3B96"/>
    <w:rsid w:val="38EA0A4F"/>
    <w:rsid w:val="3933358B"/>
    <w:rsid w:val="39D23390"/>
    <w:rsid w:val="3A173499"/>
    <w:rsid w:val="3A9EFFCE"/>
    <w:rsid w:val="3BD6517D"/>
    <w:rsid w:val="3C431B90"/>
    <w:rsid w:val="3CE5162C"/>
    <w:rsid w:val="3D1C55C2"/>
    <w:rsid w:val="3E457003"/>
    <w:rsid w:val="3E5A7DF8"/>
    <w:rsid w:val="40161AFD"/>
    <w:rsid w:val="41FE0D2A"/>
    <w:rsid w:val="42360234"/>
    <w:rsid w:val="4248149B"/>
    <w:rsid w:val="43397FDC"/>
    <w:rsid w:val="434F2582"/>
    <w:rsid w:val="43E837B0"/>
    <w:rsid w:val="442944F4"/>
    <w:rsid w:val="443469F5"/>
    <w:rsid w:val="44606CD8"/>
    <w:rsid w:val="44D56131"/>
    <w:rsid w:val="46653894"/>
    <w:rsid w:val="47242D51"/>
    <w:rsid w:val="473E165D"/>
    <w:rsid w:val="487D1F30"/>
    <w:rsid w:val="48D05884"/>
    <w:rsid w:val="48E82276"/>
    <w:rsid w:val="4973551B"/>
    <w:rsid w:val="49DE18DD"/>
    <w:rsid w:val="4A144D30"/>
    <w:rsid w:val="4A3F571D"/>
    <w:rsid w:val="4A4C2CEB"/>
    <w:rsid w:val="4B3043BA"/>
    <w:rsid w:val="4C26230B"/>
    <w:rsid w:val="4D4E6532"/>
    <w:rsid w:val="4E416104"/>
    <w:rsid w:val="4E673416"/>
    <w:rsid w:val="4ED11F94"/>
    <w:rsid w:val="4F980780"/>
    <w:rsid w:val="51174AC5"/>
    <w:rsid w:val="517FE114"/>
    <w:rsid w:val="51E02228"/>
    <w:rsid w:val="524530D8"/>
    <w:rsid w:val="52A042A5"/>
    <w:rsid w:val="533633E9"/>
    <w:rsid w:val="565847C5"/>
    <w:rsid w:val="569D6333"/>
    <w:rsid w:val="56EFD299"/>
    <w:rsid w:val="56F3FCF0"/>
    <w:rsid w:val="57F16FC2"/>
    <w:rsid w:val="58995EAE"/>
    <w:rsid w:val="595C6329"/>
    <w:rsid w:val="599F3034"/>
    <w:rsid w:val="5A1A070F"/>
    <w:rsid w:val="5A305377"/>
    <w:rsid w:val="5BFFB320"/>
    <w:rsid w:val="5D4D2CDF"/>
    <w:rsid w:val="5E0019CA"/>
    <w:rsid w:val="5EB545FA"/>
    <w:rsid w:val="5F0264A9"/>
    <w:rsid w:val="60917251"/>
    <w:rsid w:val="62D6033B"/>
    <w:rsid w:val="62D91739"/>
    <w:rsid w:val="62E0081A"/>
    <w:rsid w:val="63F50BFD"/>
    <w:rsid w:val="649F3623"/>
    <w:rsid w:val="64FD4BAB"/>
    <w:rsid w:val="6588162A"/>
    <w:rsid w:val="66042C77"/>
    <w:rsid w:val="669730E8"/>
    <w:rsid w:val="66A36DDF"/>
    <w:rsid w:val="67145666"/>
    <w:rsid w:val="67460A40"/>
    <w:rsid w:val="67DD55E5"/>
    <w:rsid w:val="6846773F"/>
    <w:rsid w:val="68B35298"/>
    <w:rsid w:val="68BB23A7"/>
    <w:rsid w:val="68C61A62"/>
    <w:rsid w:val="69472BA3"/>
    <w:rsid w:val="69502963"/>
    <w:rsid w:val="6A7259FE"/>
    <w:rsid w:val="6C9D0B3F"/>
    <w:rsid w:val="6EF95004"/>
    <w:rsid w:val="705457FB"/>
    <w:rsid w:val="709D0814"/>
    <w:rsid w:val="70D2369A"/>
    <w:rsid w:val="71E82A49"/>
    <w:rsid w:val="72872F89"/>
    <w:rsid w:val="72AE0D4B"/>
    <w:rsid w:val="73BD5D86"/>
    <w:rsid w:val="76411243"/>
    <w:rsid w:val="769211D6"/>
    <w:rsid w:val="76C463FC"/>
    <w:rsid w:val="775546DD"/>
    <w:rsid w:val="777849C9"/>
    <w:rsid w:val="77CF7617"/>
    <w:rsid w:val="79AC0E62"/>
    <w:rsid w:val="7B364826"/>
    <w:rsid w:val="7C217926"/>
    <w:rsid w:val="7CBFAA9E"/>
    <w:rsid w:val="7D7BAA82"/>
    <w:rsid w:val="7DB52E23"/>
    <w:rsid w:val="7E9EF690"/>
    <w:rsid w:val="7EBF2EFE"/>
    <w:rsid w:val="7EF25C3A"/>
    <w:rsid w:val="98BF0DAA"/>
    <w:rsid w:val="B75BD2BA"/>
    <w:rsid w:val="BFFF209E"/>
    <w:rsid w:val="DAB946A6"/>
    <w:rsid w:val="DAF92137"/>
    <w:rsid w:val="DFFF9078"/>
    <w:rsid w:val="E7FFE01C"/>
    <w:rsid w:val="EDD594B8"/>
    <w:rsid w:val="F7EC6EF2"/>
    <w:rsid w:val="FAFAC61A"/>
    <w:rsid w:val="FB9F7D63"/>
    <w:rsid w:val="FBA7F81F"/>
    <w:rsid w:val="FBFDD59C"/>
    <w:rsid w:val="FEDDA8E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 w:cs="Calibri"/>
      <w:kern w:val="2"/>
      <w:sz w:val="28"/>
      <w:szCs w:val="21"/>
      <w:lang w:val="en-US" w:eastAsia="zh-CN" w:bidi="ar-SA"/>
    </w:rPr>
  </w:style>
  <w:style w:type="paragraph" w:styleId="2">
    <w:name w:val="heading 1"/>
    <w:basedOn w:val="1"/>
    <w:next w:val="1"/>
    <w:link w:val="21"/>
    <w:qFormat/>
    <w:uiPriority w:val="0"/>
    <w:pPr>
      <w:keepNext/>
      <w:keepLines/>
      <w:spacing w:before="120" w:line="360" w:lineRule="auto"/>
      <w:outlineLvl w:val="0"/>
    </w:pPr>
    <w:rPr>
      <w:rFonts w:ascii="Times New Roman" w:hAnsi="Times New Roman" w:eastAsia="黑体" w:cs="Times New Roman"/>
      <w:kern w:val="44"/>
      <w:sz w:val="20"/>
      <w:szCs w:val="20"/>
    </w:rPr>
  </w:style>
  <w:style w:type="paragraph" w:styleId="3">
    <w:name w:val="heading 2"/>
    <w:basedOn w:val="1"/>
    <w:next w:val="1"/>
    <w:link w:val="22"/>
    <w:qFormat/>
    <w:uiPriority w:val="9"/>
    <w:pPr>
      <w:keepNext/>
      <w:keepLines/>
      <w:adjustRightInd w:val="0"/>
      <w:outlineLvl w:val="1"/>
    </w:pPr>
    <w:rPr>
      <w:rFonts w:ascii="楷体" w:hAnsi="楷体" w:eastAsia="楷体" w:cs="Times New Roman"/>
      <w:szCs w:val="28"/>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4">
    <w:name w:val="Normal Indent"/>
    <w:basedOn w:val="1"/>
    <w:link w:val="23"/>
    <w:qFormat/>
    <w:uiPriority w:val="0"/>
    <w:pPr>
      <w:ind w:firstLine="420" w:firstLineChars="200"/>
    </w:pPr>
    <w:rPr>
      <w:rFonts w:ascii="Times New Roman" w:hAnsi="Times New Roman" w:eastAsia="宋体" w:cs="黑体"/>
      <w:sz w:val="21"/>
      <w:szCs w:val="24"/>
    </w:rPr>
  </w:style>
  <w:style w:type="paragraph" w:styleId="5">
    <w:name w:val="caption"/>
    <w:basedOn w:val="1"/>
    <w:next w:val="1"/>
    <w:qFormat/>
    <w:uiPriority w:val="35"/>
    <w:rPr>
      <w:rFonts w:ascii="等线 Light" w:hAnsi="等线 Light" w:eastAsia="黑体" w:cs="Times New Roman"/>
      <w:sz w:val="20"/>
      <w:szCs w:val="20"/>
    </w:rPr>
  </w:style>
  <w:style w:type="paragraph" w:styleId="6">
    <w:name w:val="annotation text"/>
    <w:basedOn w:val="1"/>
    <w:link w:val="24"/>
    <w:unhideWhenUsed/>
    <w:qFormat/>
    <w:uiPriority w:val="99"/>
    <w:pPr>
      <w:jc w:val="left"/>
    </w:pPr>
  </w:style>
  <w:style w:type="paragraph" w:styleId="7">
    <w:name w:val="Body Text"/>
    <w:basedOn w:val="1"/>
    <w:next w:val="8"/>
    <w:link w:val="20"/>
    <w:unhideWhenUsed/>
    <w:qFormat/>
    <w:uiPriority w:val="99"/>
    <w:rPr>
      <w:rFonts w:eastAsia="宋体"/>
      <w:sz w:val="30"/>
      <w:szCs w:val="30"/>
    </w:rPr>
  </w:style>
  <w:style w:type="paragraph" w:styleId="8">
    <w:name w:val="Title"/>
    <w:basedOn w:val="1"/>
    <w:next w:val="1"/>
    <w:qFormat/>
    <w:uiPriority w:val="10"/>
    <w:pPr>
      <w:numPr>
        <w:ilvl w:val="0"/>
        <w:numId w:val="1"/>
      </w:numPr>
      <w:spacing w:before="240" w:after="60"/>
      <w:ind w:firstLine="400" w:firstLineChars="200"/>
      <w:jc w:val="left"/>
      <w:outlineLvl w:val="0"/>
    </w:pPr>
    <w:rPr>
      <w:rFonts w:ascii="Arial" w:hAnsi="Arial" w:eastAsia="宋体"/>
      <w:b/>
      <w:sz w:val="32"/>
    </w:rPr>
  </w:style>
  <w:style w:type="paragraph" w:styleId="9">
    <w:name w:val="Balloon Text"/>
    <w:basedOn w:val="1"/>
    <w:link w:val="25"/>
    <w:unhideWhenUsed/>
    <w:qFormat/>
    <w:uiPriority w:val="99"/>
    <w:rPr>
      <w:sz w:val="18"/>
      <w:szCs w:val="18"/>
    </w:rPr>
  </w:style>
  <w:style w:type="paragraph" w:styleId="10">
    <w:name w:val="footer"/>
    <w:basedOn w:val="1"/>
    <w:link w:val="26"/>
    <w:unhideWhenUsed/>
    <w:qFormat/>
    <w:uiPriority w:val="99"/>
    <w:pPr>
      <w:tabs>
        <w:tab w:val="center" w:pos="4153"/>
        <w:tab w:val="right" w:pos="8306"/>
      </w:tabs>
      <w:snapToGrid w:val="0"/>
      <w:jc w:val="left"/>
    </w:pPr>
    <w:rPr>
      <w:sz w:val="18"/>
      <w:szCs w:val="18"/>
    </w:rPr>
  </w:style>
  <w:style w:type="paragraph" w:styleId="11">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unhideWhenUsed/>
    <w:qFormat/>
    <w:uiPriority w:val="99"/>
    <w:pPr>
      <w:widowControl/>
      <w:spacing w:before="100" w:beforeAutospacing="1" w:after="100" w:afterAutospacing="1"/>
      <w:ind w:firstLine="200" w:firstLineChars="200"/>
      <w:contextualSpacing/>
      <w:jc w:val="left"/>
    </w:pPr>
    <w:rPr>
      <w:rFonts w:ascii="宋体" w:hAnsi="宋体" w:eastAsia="宋体" w:cs="宋体"/>
      <w:kern w:val="0"/>
      <w:sz w:val="24"/>
      <w:szCs w:val="24"/>
    </w:rPr>
  </w:style>
  <w:style w:type="paragraph" w:styleId="13">
    <w:name w:val="annotation subject"/>
    <w:basedOn w:val="6"/>
    <w:next w:val="6"/>
    <w:link w:val="28"/>
    <w:unhideWhenUsed/>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0"/>
    <w:rPr>
      <w:b/>
    </w:rPr>
  </w:style>
  <w:style w:type="character" w:styleId="18">
    <w:name w:val="Emphasis"/>
    <w:qFormat/>
    <w:uiPriority w:val="20"/>
    <w:rPr>
      <w:i/>
    </w:rPr>
  </w:style>
  <w:style w:type="character" w:styleId="19">
    <w:name w:val="annotation reference"/>
    <w:unhideWhenUsed/>
    <w:qFormat/>
    <w:uiPriority w:val="99"/>
    <w:rPr>
      <w:sz w:val="21"/>
      <w:szCs w:val="21"/>
    </w:rPr>
  </w:style>
  <w:style w:type="character" w:customStyle="1" w:styleId="20">
    <w:name w:val="正文文本 字符"/>
    <w:link w:val="7"/>
    <w:qFormat/>
    <w:uiPriority w:val="99"/>
    <w:rPr>
      <w:rFonts w:ascii="Calibri" w:hAnsi="Calibri" w:eastAsia="宋体" w:cs="Calibri"/>
      <w:sz w:val="30"/>
      <w:szCs w:val="30"/>
    </w:rPr>
  </w:style>
  <w:style w:type="character" w:customStyle="1" w:styleId="21">
    <w:name w:val="标题 1 字符"/>
    <w:link w:val="2"/>
    <w:qFormat/>
    <w:uiPriority w:val="0"/>
    <w:rPr>
      <w:rFonts w:ascii="Times New Roman" w:hAnsi="Times New Roman" w:eastAsia="黑体" w:cs="Times New Roman"/>
      <w:kern w:val="44"/>
      <w:sz w:val="20"/>
      <w:szCs w:val="20"/>
    </w:rPr>
  </w:style>
  <w:style w:type="character" w:customStyle="1" w:styleId="22">
    <w:name w:val="标题 2 字符"/>
    <w:link w:val="3"/>
    <w:qFormat/>
    <w:uiPriority w:val="9"/>
    <w:rPr>
      <w:rFonts w:ascii="楷体" w:hAnsi="楷体" w:eastAsia="楷体" w:cs="Times New Roman"/>
      <w:sz w:val="28"/>
      <w:szCs w:val="28"/>
    </w:rPr>
  </w:style>
  <w:style w:type="character" w:customStyle="1" w:styleId="23">
    <w:name w:val="正文缩进 字符"/>
    <w:link w:val="4"/>
    <w:qFormat/>
    <w:uiPriority w:val="0"/>
    <w:rPr>
      <w:rFonts w:ascii="Times New Roman" w:hAnsi="Times New Roman" w:eastAsia="宋体"/>
      <w:szCs w:val="24"/>
    </w:rPr>
  </w:style>
  <w:style w:type="character" w:customStyle="1" w:styleId="24">
    <w:name w:val="批注文字 字符"/>
    <w:link w:val="6"/>
    <w:qFormat/>
    <w:uiPriority w:val="99"/>
    <w:rPr>
      <w:rFonts w:ascii="Calibri" w:hAnsi="Calibri" w:eastAsia="仿宋" w:cs="Calibri"/>
      <w:sz w:val="28"/>
      <w:szCs w:val="21"/>
    </w:rPr>
  </w:style>
  <w:style w:type="character" w:customStyle="1" w:styleId="25">
    <w:name w:val="批注框文本 字符"/>
    <w:link w:val="9"/>
    <w:qFormat/>
    <w:uiPriority w:val="99"/>
    <w:rPr>
      <w:rFonts w:ascii="Calibri" w:hAnsi="Calibri" w:eastAsia="仿宋" w:cs="Calibri"/>
      <w:sz w:val="18"/>
      <w:szCs w:val="18"/>
    </w:rPr>
  </w:style>
  <w:style w:type="character" w:customStyle="1" w:styleId="26">
    <w:name w:val="页脚 字符"/>
    <w:link w:val="10"/>
    <w:qFormat/>
    <w:uiPriority w:val="99"/>
    <w:rPr>
      <w:sz w:val="18"/>
      <w:szCs w:val="18"/>
    </w:rPr>
  </w:style>
  <w:style w:type="character" w:customStyle="1" w:styleId="27">
    <w:name w:val="页眉 字符"/>
    <w:link w:val="11"/>
    <w:qFormat/>
    <w:uiPriority w:val="99"/>
    <w:rPr>
      <w:sz w:val="18"/>
      <w:szCs w:val="18"/>
    </w:rPr>
  </w:style>
  <w:style w:type="character" w:customStyle="1" w:styleId="28">
    <w:name w:val="批注主题 字符"/>
    <w:link w:val="13"/>
    <w:qFormat/>
    <w:uiPriority w:val="99"/>
    <w:rPr>
      <w:rFonts w:ascii="Calibri" w:hAnsi="Calibri" w:eastAsia="仿宋" w:cs="Calibri"/>
      <w:b/>
      <w:bCs/>
      <w:sz w:val="28"/>
      <w:szCs w:val="21"/>
    </w:rPr>
  </w:style>
  <w:style w:type="paragraph" w:customStyle="1" w:styleId="29">
    <w:name w:val="无间隔1"/>
    <w:basedOn w:val="1"/>
    <w:link w:val="30"/>
    <w:qFormat/>
    <w:uiPriority w:val="0"/>
    <w:pPr>
      <w:ind w:firstLine="200" w:firstLineChars="200"/>
      <w:contextualSpacing/>
      <w:jc w:val="center"/>
    </w:pPr>
    <w:rPr>
      <w:rFonts w:ascii="Verdana" w:hAnsi="Verdana" w:eastAsia="Tahoma" w:cs="黑体"/>
      <w:sz w:val="21"/>
      <w:szCs w:val="22"/>
    </w:rPr>
  </w:style>
  <w:style w:type="character" w:customStyle="1" w:styleId="30">
    <w:name w:val="无间隔 Char"/>
    <w:link w:val="29"/>
    <w:qFormat/>
    <w:uiPriority w:val="0"/>
    <w:rPr>
      <w:rFonts w:ascii="Verdana" w:hAnsi="Verdana" w:eastAsia="Tahoma"/>
    </w:rPr>
  </w:style>
  <w:style w:type="paragraph" w:customStyle="1" w:styleId="31">
    <w:name w:val="列出段落1"/>
    <w:basedOn w:val="1"/>
    <w:qFormat/>
    <w:uiPriority w:val="34"/>
    <w:pPr>
      <w:ind w:firstLine="420" w:firstLineChars="200"/>
    </w:pPr>
    <w:rPr>
      <w:rFonts w:ascii="等线" w:hAnsi="等线" w:cs="Times New Roman"/>
      <w:sz w:val="32"/>
      <w:szCs w:val="22"/>
    </w:rPr>
  </w:style>
  <w:style w:type="paragraph" w:customStyle="1" w:styleId="32">
    <w:name w:val="p1"/>
    <w:basedOn w:val="1"/>
    <w:qFormat/>
    <w:uiPriority w:val="0"/>
    <w:pPr>
      <w:spacing w:line="380" w:lineRule="atLeast"/>
      <w:jc w:val="left"/>
    </w:pPr>
    <w:rPr>
      <w:rFonts w:ascii="Helvetica Neue" w:hAnsi="Helvetica Neue" w:eastAsia="Helvetica Neue" w:cs="Times New Roman"/>
      <w:color w:val="000000"/>
      <w:kern w:val="0"/>
      <w:sz w:val="26"/>
      <w:szCs w:val="26"/>
    </w:rPr>
  </w:style>
  <w:style w:type="paragraph" w:customStyle="1" w:styleId="33">
    <w:name w:val="正文新"/>
    <w:link w:val="34"/>
    <w:qFormat/>
    <w:uiPriority w:val="0"/>
    <w:pPr>
      <w:autoSpaceDE w:val="0"/>
      <w:autoSpaceDN w:val="0"/>
      <w:spacing w:after="200" w:line="276" w:lineRule="auto"/>
      <w:ind w:firstLine="200" w:firstLineChars="200"/>
      <w:jc w:val="both"/>
    </w:pPr>
    <w:rPr>
      <w:rFonts w:ascii="宋体" w:hAnsi="宋体" w:eastAsia="等线" w:cs="黑体"/>
      <w:kern w:val="2"/>
      <w:sz w:val="21"/>
      <w:szCs w:val="22"/>
      <w:lang w:val="en-US" w:eastAsia="zh-CN" w:bidi="ar-SA"/>
    </w:rPr>
  </w:style>
  <w:style w:type="character" w:customStyle="1" w:styleId="34">
    <w:name w:val="正文新 Char"/>
    <w:link w:val="33"/>
    <w:qFormat/>
    <w:locked/>
    <w:uiPriority w:val="0"/>
    <w:rPr>
      <w:rFonts w:ascii="宋体" w:hAnsi="宋体" w:eastAsia="等线"/>
    </w:rPr>
  </w:style>
  <w:style w:type="paragraph" w:customStyle="1" w:styleId="35">
    <w:name w:val="段（正文）"/>
    <w:qFormat/>
    <w:uiPriority w:val="0"/>
    <w:pPr>
      <w:autoSpaceDE w:val="0"/>
      <w:autoSpaceDN w:val="0"/>
      <w:ind w:firstLine="200" w:firstLineChars="200"/>
      <w:jc w:val="both"/>
    </w:pPr>
    <w:rPr>
      <w:rFonts w:ascii="宋体" w:hAnsi="Times New Roman" w:eastAsia="仿宋" w:cs="Times New Roman"/>
      <w:sz w:val="32"/>
      <w:lang w:val="en-US" w:eastAsia="zh-CN" w:bidi="ar-SA"/>
    </w:rPr>
  </w:style>
  <w:style w:type="paragraph" w:customStyle="1" w:styleId="36">
    <w:name w:val="text"/>
    <w:basedOn w:val="1"/>
    <w:qFormat/>
    <w:uiPriority w:val="0"/>
    <w:pPr>
      <w:spacing w:line="360" w:lineRule="auto"/>
      <w:ind w:firstLine="420"/>
    </w:pPr>
    <w:rPr>
      <w:rFonts w:ascii="Times New Roman" w:hAnsi="Times New Roman" w:cs="Times New Roman"/>
      <w:sz w:val="24"/>
      <w:szCs w:val="20"/>
    </w:rPr>
  </w:style>
  <w:style w:type="paragraph" w:customStyle="1" w:styleId="37">
    <w:name w:val="正文1"/>
    <w:qFormat/>
    <w:uiPriority w:val="0"/>
    <w:pPr>
      <w:jc w:val="both"/>
    </w:pPr>
    <w:rPr>
      <w:rFonts w:ascii="Calibri" w:hAnsi="Calibri" w:eastAsia="宋体" w:cs="宋体"/>
      <w:kern w:val="2"/>
      <w:sz w:val="21"/>
      <w:szCs w:val="21"/>
      <w:lang w:val="en-US" w:eastAsia="zh-CN" w:bidi="ar-SA"/>
    </w:rPr>
  </w:style>
  <w:style w:type="paragraph" w:customStyle="1" w:styleId="38">
    <w:name w:val="1 Char"/>
    <w:basedOn w:val="1"/>
    <w:qFormat/>
    <w:uiPriority w:val="0"/>
    <w:rPr>
      <w:rFonts w:ascii="Times New Roman" w:hAnsi="Times New Roman" w:eastAsia="宋体" w:cs="Times New Roman"/>
      <w:sz w:val="21"/>
      <w:szCs w:val="20"/>
    </w:rPr>
  </w:style>
  <w:style w:type="character" w:customStyle="1" w:styleId="39">
    <w:name w:val="批注框文本 字符1"/>
    <w:semiHidden/>
    <w:qFormat/>
    <w:uiPriority w:val="99"/>
    <w:rPr>
      <w:rFonts w:ascii="Calibri" w:hAnsi="Calibri" w:eastAsia="仿宋" w:cs="Calibri"/>
      <w:sz w:val="18"/>
      <w:szCs w:val="18"/>
    </w:rPr>
  </w:style>
  <w:style w:type="character" w:customStyle="1" w:styleId="40">
    <w:name w:val="正文文本 字符1"/>
    <w:semiHidden/>
    <w:qFormat/>
    <w:uiPriority w:val="99"/>
    <w:rPr>
      <w:rFonts w:ascii="Calibri" w:hAnsi="Calibri" w:eastAsia="仿宋" w:cs="Calibri"/>
      <w:sz w:val="28"/>
      <w:szCs w:val="21"/>
    </w:rPr>
  </w:style>
  <w:style w:type="character" w:customStyle="1" w:styleId="41">
    <w:name w:val="批注文字 字符1"/>
    <w:semiHidden/>
    <w:qFormat/>
    <w:uiPriority w:val="99"/>
    <w:rPr>
      <w:rFonts w:ascii="Calibri" w:hAnsi="Calibri" w:eastAsia="仿宋" w:cs="Calibri"/>
      <w:sz w:val="28"/>
      <w:szCs w:val="21"/>
    </w:rPr>
  </w:style>
  <w:style w:type="character" w:customStyle="1" w:styleId="42">
    <w:name w:val="批注主题 字符1"/>
    <w:semiHidden/>
    <w:qFormat/>
    <w:uiPriority w:val="99"/>
    <w:rPr>
      <w:rFonts w:ascii="Calibri" w:hAnsi="Calibri" w:eastAsia="仿宋" w:cs="Calibri"/>
      <w:b/>
      <w:bCs/>
      <w:sz w:val="28"/>
      <w:szCs w:val="21"/>
    </w:rPr>
  </w:style>
  <w:style w:type="paragraph" w:styleId="43">
    <w:name w:val="List Paragraph"/>
    <w:basedOn w:val="1"/>
    <w:qFormat/>
    <w:uiPriority w:val="99"/>
    <w:pPr>
      <w:ind w:firstLine="420" w:firstLineChars="200"/>
    </w:pPr>
  </w:style>
  <w:style w:type="character" w:customStyle="1" w:styleId="44">
    <w:name w:val="font21"/>
    <w:qFormat/>
    <w:uiPriority w:val="0"/>
    <w:rPr>
      <w:rFonts w:hint="eastAsia" w:ascii="仿宋" w:hAnsi="仿宋" w:eastAsia="仿宋" w:cs="仿宋"/>
      <w:color w:val="000000"/>
      <w:sz w:val="20"/>
      <w:szCs w:val="20"/>
      <w:u w:val="none"/>
    </w:rPr>
  </w:style>
  <w:style w:type="paragraph" w:customStyle="1" w:styleId="45">
    <w:name w:val="修订1"/>
    <w:semiHidden/>
    <w:qFormat/>
    <w:uiPriority w:val="99"/>
    <w:rPr>
      <w:rFonts w:ascii="Calibri" w:hAnsi="Calibri" w:eastAsia="仿宋" w:cs="Calibri"/>
      <w:kern w:val="2"/>
      <w:sz w:val="28"/>
      <w:szCs w:val="21"/>
      <w:lang w:val="en-US" w:eastAsia="zh-CN" w:bidi="ar-SA"/>
    </w:rPr>
  </w:style>
  <w:style w:type="character" w:customStyle="1" w:styleId="46">
    <w:name w:val="font51"/>
    <w:qFormat/>
    <w:uiPriority w:val="0"/>
    <w:rPr>
      <w:rFonts w:hint="eastAsia" w:ascii="仿宋_GB2312" w:eastAsia="仿宋_GB2312" w:cs="仿宋_GB2312"/>
      <w:color w:val="333333"/>
      <w:sz w:val="24"/>
      <w:szCs w:val="24"/>
      <w:u w:val="none"/>
    </w:rPr>
  </w:style>
  <w:style w:type="character" w:customStyle="1" w:styleId="47">
    <w:name w:val="font61"/>
    <w:qFormat/>
    <w:uiPriority w:val="0"/>
    <w:rPr>
      <w:rFonts w:ascii="Wingdings 2" w:hAnsi="Wingdings 2" w:eastAsia="Wingdings 2" w:cs="Wingdings 2"/>
      <w:color w:val="000000"/>
      <w:sz w:val="24"/>
      <w:szCs w:val="24"/>
      <w:u w:val="none"/>
    </w:rPr>
  </w:style>
  <w:style w:type="character" w:customStyle="1" w:styleId="48">
    <w:name w:val="font31"/>
    <w:qFormat/>
    <w:uiPriority w:val="0"/>
    <w:rPr>
      <w:rFonts w:hint="eastAsia" w:ascii="宋体" w:hAnsi="宋体" w:eastAsia="宋体" w:cs="宋体"/>
      <w:color w:val="000000"/>
      <w:sz w:val="20"/>
      <w:szCs w:val="20"/>
      <w:u w:val="none"/>
    </w:rPr>
  </w:style>
  <w:style w:type="character" w:customStyle="1" w:styleId="49">
    <w:name w:val="font41"/>
    <w:qFormat/>
    <w:uiPriority w:val="0"/>
    <w:rPr>
      <w:rFonts w:hint="eastAsia" w:ascii="宋体" w:hAnsi="宋体" w:eastAsia="宋体" w:cs="宋体"/>
      <w:color w:val="FF0000"/>
      <w:sz w:val="20"/>
      <w:szCs w:val="20"/>
      <w:u w:val="none"/>
    </w:rPr>
  </w:style>
  <w:style w:type="character" w:customStyle="1" w:styleId="50">
    <w:name w:val="font11"/>
    <w:qFormat/>
    <w:uiPriority w:val="0"/>
    <w:rPr>
      <w:rFonts w:hint="eastAsia" w:ascii="仿宋_GB2312" w:eastAsia="仿宋_GB2312" w:cs="仿宋_GB2312"/>
      <w:color w:val="000000"/>
      <w:sz w:val="22"/>
      <w:szCs w:val="22"/>
      <w:u w:val="none"/>
    </w:rPr>
  </w:style>
  <w:style w:type="character" w:customStyle="1" w:styleId="51">
    <w:name w:val="font01"/>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24</Pages>
  <Words>950</Words>
  <Characters>1034</Characters>
  <Lines>56</Lines>
  <Paragraphs>15</Paragraphs>
  <TotalTime>0</TotalTime>
  <ScaleCrop>false</ScaleCrop>
  <LinksUpToDate>false</LinksUpToDate>
  <CharactersWithSpaces>1036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2025-02-25T13:25:00Z</dcterms:created>
  <dc:creator>qu yan</dc:creator>
  <cp:lastModifiedBy>瑿淳</cp:lastModifiedBy>
  <cp:lastPrinted>2025-02-21T09:49:00Z</cp:lastPrinted>
  <dcterms:modified xsi:type="dcterms:W3CDTF">2025-08-04T08:23:13Z</dcterms:modified>
  <dc:title>广东省产业集群工业互联数字化转型试点</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96E67B143C7B41988AC472DF436F8073_13</vt:lpwstr>
  </property>
  <property fmtid="{D5CDD505-2E9C-101B-9397-08002B2CF9AE}" pid="4" name="KSOTemplateDocerSaveRecord">
    <vt:lpwstr>eyJoZGlkIjoiMzEwNTM5NzYwMDRjMzkwZTVkZjY2ODkwMGIxNGU0OTUiLCJ1c2VySWQiOiIzMjI0MTE4NjIifQ==</vt:lpwstr>
  </property>
</Properties>
</file>