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ascii="宋体 (正文)" w:hAnsi="宋体 (正文)" w:eastAsia="宋体 (正文)" w:cs="宋体 (正文)"/>
          <w:b/>
          <w:color w:val="auto"/>
          <w:kern w:val="44"/>
          <w:sz w:val="36"/>
          <w:szCs w:val="36"/>
          <w:highlight w:val="none"/>
          <w:lang w:val="en-US" w:eastAsia="zh-CN" w:bidi="ar-SA"/>
        </w:rPr>
      </w:pPr>
      <w:bookmarkStart w:id="0" w:name="_Toc14152"/>
      <w:r>
        <w:rPr>
          <w:rFonts w:hint="eastAsia" w:ascii="宋体 (正文)" w:hAnsi="宋体 (正文)" w:eastAsia="宋体 (正文)" w:cs="宋体 (正文)"/>
          <w:b/>
          <w:color w:val="auto"/>
          <w:kern w:val="2"/>
          <w:sz w:val="36"/>
          <w:szCs w:val="36"/>
          <w:highlight w:val="none"/>
          <w:lang w:val="en-US" w:eastAsia="zh-CN" w:bidi="ar-SA"/>
        </w:rPr>
        <w:t>数据知识产权推广服务项目</w:t>
      </w:r>
      <w:r>
        <w:rPr>
          <w:rFonts w:hint="eastAsia" w:ascii="宋体 (正文)" w:hAnsi="宋体 (正文)" w:eastAsia="宋体 (正文)" w:cs="宋体 (正文)"/>
          <w:b/>
          <w:color w:val="auto"/>
          <w:kern w:val="44"/>
          <w:sz w:val="36"/>
          <w:szCs w:val="36"/>
          <w:highlight w:val="none"/>
          <w:lang w:val="en-US" w:eastAsia="zh-CN" w:bidi="ar-SA"/>
        </w:rPr>
        <w:t>评分标准</w:t>
      </w:r>
      <w:bookmarkEnd w:id="0"/>
    </w:p>
    <w:p>
      <w:pPr>
        <w:pStyle w:val="5"/>
        <w:bidi w:val="0"/>
        <w:ind w:firstLine="903" w:firstLineChars="300"/>
        <w:jc w:val="both"/>
        <w:rPr>
          <w:rFonts w:hint="eastAsia" w:ascii="宋体 (正文)" w:hAnsi="宋体 (正文)" w:eastAsia="宋体 (正文)" w:cs="宋体 (正文)"/>
          <w:b/>
          <w:color w:val="auto"/>
          <w:kern w:val="44"/>
          <w:sz w:val="30"/>
          <w:szCs w:val="30"/>
          <w:highlight w:val="none"/>
          <w:lang w:val="en-US" w:eastAsia="zh-CN" w:bidi="ar-SA"/>
        </w:rPr>
      </w:pPr>
      <w:r>
        <w:rPr>
          <w:rFonts w:hint="eastAsia" w:ascii="宋体 (正文)" w:hAnsi="宋体 (正文)" w:eastAsia="宋体 (正文)" w:cs="宋体 (正文)"/>
          <w:b/>
          <w:color w:val="auto"/>
          <w:kern w:val="44"/>
          <w:sz w:val="30"/>
          <w:szCs w:val="30"/>
          <w:highlight w:val="none"/>
          <w:lang w:val="en-US" w:eastAsia="zh-CN" w:bidi="ar-SA"/>
        </w:rPr>
        <w:t>申报单位名称：</w:t>
      </w:r>
      <w:bookmarkStart w:id="1" w:name="_GoBack"/>
      <w:bookmarkEnd w:id="1"/>
    </w:p>
    <w:tbl>
      <w:tblPr>
        <w:tblStyle w:val="6"/>
        <w:tblW w:w="86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215"/>
        <w:gridCol w:w="780"/>
        <w:gridCol w:w="4515"/>
        <w:gridCol w:w="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307"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评价类别</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评价指标</w:t>
            </w:r>
          </w:p>
        </w:tc>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分值</w:t>
            </w:r>
          </w:p>
        </w:tc>
        <w:tc>
          <w:tcPr>
            <w:tcW w:w="4515"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评审因素</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1307"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50" w:lineRule="exact"/>
              <w:jc w:val="center"/>
              <w:rPr>
                <w:rFonts w:hint="default" w:ascii="仿宋_GB2312" w:hAnsi="宋体" w:eastAsia="仿宋_GB2312" w:cs="宋体"/>
                <w:b/>
                <w:bCs/>
                <w:color w:val="auto"/>
                <w:kern w:val="0"/>
                <w:sz w:val="28"/>
                <w:szCs w:val="28"/>
                <w:highlight w:val="none"/>
                <w:lang w:val="en-US" w:eastAsia="zh-CN"/>
              </w:rPr>
            </w:pPr>
            <w:r>
              <w:rPr>
                <w:rFonts w:hint="eastAsia" w:ascii="宋体" w:hAnsi="宋体" w:eastAsia="宋体" w:cs="宋体"/>
                <w:b/>
                <w:i w:val="0"/>
                <w:color w:val="auto"/>
                <w:kern w:val="0"/>
                <w:sz w:val="21"/>
                <w:szCs w:val="21"/>
                <w:u w:val="none"/>
                <w:lang w:val="en-US" w:eastAsia="zh-CN" w:bidi="ar"/>
              </w:rPr>
              <w:t>申报条件</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申报单位  条件</w:t>
            </w:r>
          </w:p>
        </w:tc>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一票否决</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是否具有依法注册设立、具有独立法人资格的企事业单位</w:t>
            </w:r>
            <w:r>
              <w:rPr>
                <w:rFonts w:hint="eastAsia" w:ascii="宋体" w:hAnsi="宋体" w:cs="宋体"/>
                <w:i w:val="0"/>
                <w:color w:val="auto"/>
                <w:sz w:val="24"/>
                <w:szCs w:val="24"/>
                <w:u w:val="none"/>
                <w:lang w:val="en-US" w:eastAsia="zh-CN"/>
              </w:rPr>
              <w:t>或其他</w:t>
            </w:r>
            <w:r>
              <w:rPr>
                <w:rFonts w:hint="eastAsia" w:ascii="宋体" w:hAnsi="宋体" w:eastAsia="宋体" w:cs="宋体"/>
                <w:i w:val="0"/>
                <w:color w:val="auto"/>
                <w:sz w:val="24"/>
                <w:szCs w:val="24"/>
                <w:u w:val="none"/>
                <w:lang w:val="en-US" w:eastAsia="zh-CN"/>
              </w:rPr>
              <w:t>组织</w:t>
            </w:r>
            <w:r>
              <w:rPr>
                <w:rFonts w:hint="eastAsia" w:ascii="宋体" w:hAnsi="宋体" w:cs="宋体"/>
                <w:i w:val="0"/>
                <w:color w:val="auto"/>
                <w:sz w:val="24"/>
                <w:szCs w:val="24"/>
                <w:u w:val="none"/>
                <w:lang w:val="en-US" w:eastAsia="zh-CN"/>
              </w:rPr>
              <w:t>；分支机构投标，须取得具有法人资格的总公司出具给分支机构的授权书，并提供总公司和分支机构的营业执照复印件加盖投标人公章。已由总公司授权的，总公司取得的相关资质证书对分支机构有效，法律法规或者行业另有规定的除外。</w:t>
            </w:r>
          </w:p>
        </w:tc>
        <w:tc>
          <w:tcPr>
            <w:tcW w:w="811" w:type="dxa"/>
            <w:vAlign w:val="center"/>
          </w:tcPr>
          <w:p>
            <w:pPr>
              <w:pStyle w:val="8"/>
              <w:keepNext w:val="0"/>
              <w:keepLines w:val="0"/>
              <w:pageBreakBefore w:val="0"/>
              <w:widowControl/>
              <w:kinsoku/>
              <w:wordWrap/>
              <w:overflowPunct/>
              <w:topLinePunct w:val="0"/>
              <w:autoSpaceDE/>
              <w:autoSpaceDN/>
              <w:bidi w:val="0"/>
              <w:adjustRightInd/>
              <w:snapToGrid/>
              <w:spacing w:line="350" w:lineRule="exact"/>
              <w:rPr>
                <w:rFonts w:hint="eastAsia" w:ascii="仿宋_GB2312" w:hAnsi="宋体" w:eastAsia="仿宋_GB2312" w:cs="宋体"/>
                <w:color w:val="auto"/>
                <w:kern w:val="0"/>
                <w:sz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07"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50" w:lineRule="exact"/>
              <w:jc w:val="center"/>
              <w:rPr>
                <w:rFonts w:hint="eastAsia" w:ascii="仿宋_GB2312" w:hAnsi="宋体" w:eastAsia="仿宋_GB2312" w:cs="宋体"/>
                <w:b/>
                <w:bCs/>
                <w:color w:val="auto"/>
                <w:kern w:val="0"/>
                <w:sz w:val="28"/>
                <w:szCs w:val="28"/>
                <w:highlight w:val="none"/>
                <w:lang w:val="en-US" w:eastAsia="zh-CN"/>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p>
        </w:tc>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申报单位近一年内有缴纳税收和社会保障资金。</w:t>
            </w:r>
          </w:p>
        </w:tc>
        <w:tc>
          <w:tcPr>
            <w:tcW w:w="811" w:type="dxa"/>
            <w:vAlign w:val="center"/>
          </w:tcPr>
          <w:p>
            <w:pPr>
              <w:pStyle w:val="8"/>
              <w:keepNext w:val="0"/>
              <w:keepLines w:val="0"/>
              <w:pageBreakBefore w:val="0"/>
              <w:widowControl/>
              <w:kinsoku/>
              <w:wordWrap/>
              <w:overflowPunct/>
              <w:topLinePunct w:val="0"/>
              <w:autoSpaceDE/>
              <w:autoSpaceDN/>
              <w:bidi w:val="0"/>
              <w:adjustRightInd/>
              <w:snapToGrid/>
              <w:spacing w:line="350" w:lineRule="exact"/>
              <w:rPr>
                <w:rFonts w:hint="default" w:ascii="仿宋_GB2312" w:hAnsi="宋体" w:eastAsia="仿宋_GB2312" w:cs="仿宋_GB2312"/>
                <w:i w:val="0"/>
                <w:iCs w:val="0"/>
                <w:color w:val="auto"/>
                <w:kern w:val="0"/>
                <w:sz w:val="24"/>
                <w:szCs w:val="24"/>
                <w:highlight w:val="none"/>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307"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50" w:lineRule="exact"/>
              <w:jc w:val="center"/>
              <w:rPr>
                <w:rFonts w:hint="eastAsia" w:ascii="仿宋_GB2312" w:hAnsi="宋体" w:eastAsia="仿宋_GB2312" w:cs="宋体"/>
                <w:b/>
                <w:bCs/>
                <w:color w:val="auto"/>
                <w:kern w:val="0"/>
                <w:sz w:val="28"/>
                <w:szCs w:val="28"/>
                <w:highlight w:val="none"/>
                <w:lang w:val="en-US" w:eastAsia="zh-CN"/>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p>
        </w:tc>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申报项目近3年内在经营活动中没有重大违法记录（是指供应商因违法经营受到刑事处罚或者责令停产停业、吊销许可证或者执照、较大数额罚款等行政处罚）。未被列入“信用中国”网站(www.creditchina.gov.cn)“记录失信被执行人、重大税收违法案件当事人名单、政府采购严重违法失信行为”记录名单</w:t>
            </w:r>
            <w:r>
              <w:rPr>
                <w:rFonts w:hint="eastAsia" w:ascii="宋体" w:hAnsi="宋体" w:cs="宋体"/>
                <w:i w:val="0"/>
                <w:color w:val="auto"/>
                <w:sz w:val="24"/>
                <w:szCs w:val="24"/>
                <w:u w:val="none"/>
                <w:lang w:val="en-US" w:eastAsia="zh-CN"/>
              </w:rPr>
              <w:t>。</w:t>
            </w:r>
          </w:p>
        </w:tc>
        <w:tc>
          <w:tcPr>
            <w:tcW w:w="811" w:type="dxa"/>
            <w:vAlign w:val="center"/>
          </w:tcPr>
          <w:p>
            <w:pPr>
              <w:pStyle w:val="8"/>
              <w:keepNext w:val="0"/>
              <w:keepLines w:val="0"/>
              <w:pageBreakBefore w:val="0"/>
              <w:widowControl/>
              <w:kinsoku/>
              <w:wordWrap/>
              <w:overflowPunct/>
              <w:topLinePunct w:val="0"/>
              <w:autoSpaceDE/>
              <w:autoSpaceDN/>
              <w:bidi w:val="0"/>
              <w:adjustRightInd/>
              <w:snapToGrid/>
              <w:spacing w:line="350" w:lineRule="exact"/>
              <w:rPr>
                <w:rFonts w:hint="default" w:ascii="仿宋_GB2312" w:hAnsi="宋体" w:eastAsia="仿宋_GB2312" w:cs="仿宋_GB2312"/>
                <w:i w:val="0"/>
                <w:iCs w:val="0"/>
                <w:color w:val="auto"/>
                <w:kern w:val="0"/>
                <w:sz w:val="24"/>
                <w:szCs w:val="24"/>
                <w:highlight w:val="none"/>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817" w:type="dxa"/>
            <w:gridSpan w:val="4"/>
            <w:vAlign w:val="center"/>
          </w:tcPr>
          <w:p>
            <w:pPr>
              <w:pStyle w:val="8"/>
              <w:keepNext w:val="0"/>
              <w:keepLines w:val="0"/>
              <w:pageBreakBefore w:val="0"/>
              <w:widowControl/>
              <w:kinsoku/>
              <w:wordWrap/>
              <w:overflowPunct/>
              <w:topLinePunct w:val="0"/>
              <w:autoSpaceDE/>
              <w:autoSpaceDN/>
              <w:bidi w:val="0"/>
              <w:adjustRightInd/>
              <w:snapToGrid/>
              <w:spacing w:line="350" w:lineRule="exact"/>
              <w:jc w:val="center"/>
              <w:textAlignment w:val="auto"/>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宋体" w:hAnsi="宋体" w:eastAsia="宋体" w:cs="宋体"/>
                <w:b/>
                <w:i w:val="0"/>
                <w:color w:val="auto"/>
                <w:kern w:val="0"/>
                <w:sz w:val="21"/>
                <w:szCs w:val="21"/>
                <w:u w:val="none"/>
                <w:lang w:val="en-US" w:eastAsia="zh-CN" w:bidi="ar"/>
              </w:rPr>
              <w:t>评分项（100分）</w:t>
            </w:r>
          </w:p>
        </w:tc>
        <w:tc>
          <w:tcPr>
            <w:tcW w:w="811" w:type="dxa"/>
            <w:vAlign w:val="center"/>
          </w:tcPr>
          <w:p>
            <w:pPr>
              <w:pStyle w:val="8"/>
              <w:keepNext w:val="0"/>
              <w:keepLines w:val="0"/>
              <w:pageBreakBefore w:val="0"/>
              <w:widowControl/>
              <w:kinsoku/>
              <w:wordWrap/>
              <w:overflowPunct/>
              <w:topLinePunct w:val="0"/>
              <w:autoSpaceDE/>
              <w:autoSpaceDN/>
              <w:bidi w:val="0"/>
              <w:adjustRightInd/>
              <w:snapToGrid/>
              <w:spacing w:line="350" w:lineRule="exact"/>
              <w:jc w:val="center"/>
              <w:rPr>
                <w:rFonts w:hint="default" w:ascii="宋体" w:hAnsi="宋体" w:eastAsia="宋体" w:cs="宋体"/>
                <w:b/>
                <w:i w:val="0"/>
                <w:color w:val="auto"/>
                <w:kern w:val="0"/>
                <w:sz w:val="21"/>
                <w:szCs w:val="21"/>
                <w:u w:val="none"/>
                <w:lang w:val="en-US" w:eastAsia="zh-CN" w:bidi="ar"/>
              </w:rPr>
            </w:pPr>
            <w:r>
              <w:rPr>
                <w:rFonts w:hint="eastAsia" w:ascii="宋体" w:hAnsi="宋体" w:cs="宋体"/>
                <w:b/>
                <w:i w:val="0"/>
                <w:color w:val="auto"/>
                <w:kern w:val="0"/>
                <w:sz w:val="21"/>
                <w:szCs w:val="21"/>
                <w:u w:val="none"/>
                <w:lang w:val="en-US" w:eastAsia="zh-CN" w:bidi="ar"/>
              </w:rPr>
              <w:t>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1307"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综合实力（</w:t>
            </w:r>
            <w:r>
              <w:rPr>
                <w:rFonts w:hint="eastAsia" w:ascii="宋体" w:hAnsi="宋体" w:cs="宋体"/>
                <w:b/>
                <w:i w:val="0"/>
                <w:color w:val="auto"/>
                <w:kern w:val="0"/>
                <w:sz w:val="21"/>
                <w:szCs w:val="21"/>
                <w:u w:val="none"/>
                <w:lang w:val="en-US" w:eastAsia="zh-CN" w:bidi="ar"/>
              </w:rPr>
              <w:t>60</w:t>
            </w:r>
            <w:r>
              <w:rPr>
                <w:rFonts w:hint="eastAsia" w:ascii="宋体" w:hAnsi="宋体" w:eastAsia="宋体" w:cs="宋体"/>
                <w:b/>
                <w:i w:val="0"/>
                <w:color w:val="auto"/>
                <w:kern w:val="0"/>
                <w:sz w:val="21"/>
                <w:szCs w:val="21"/>
                <w:u w:val="none"/>
                <w:lang w:val="en-US" w:eastAsia="zh-CN" w:bidi="ar"/>
              </w:rPr>
              <w:t>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机构实力</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具备履行合同所必需的设备，有固定办公场所，具备充足的专家团队和</w:t>
            </w:r>
            <w:r>
              <w:rPr>
                <w:rFonts w:hint="default" w:ascii="宋体" w:hAnsi="宋体" w:eastAsia="宋体" w:cs="宋体"/>
                <w:i w:val="0"/>
                <w:color w:val="auto"/>
                <w:sz w:val="24"/>
                <w:szCs w:val="24"/>
                <w:u w:val="none"/>
                <w:lang w:val="en-US" w:eastAsia="zh-CN"/>
              </w:rPr>
              <w:t>丰富的相关工作经验</w:t>
            </w:r>
            <w:r>
              <w:rPr>
                <w:rFonts w:hint="eastAsia" w:ascii="宋体" w:hAnsi="宋体" w:eastAsia="宋体" w:cs="宋体"/>
                <w:i w:val="0"/>
                <w:color w:val="auto"/>
                <w:sz w:val="24"/>
                <w:szCs w:val="24"/>
                <w:u w:val="none"/>
                <w:lang w:val="en-US" w:eastAsia="zh-CN"/>
              </w:rPr>
              <w:t>，最高得6分；有完善的财务管理制度、项目资金管理办法、人事管理制度、档案管理制度各得1分，最高4分。本项最高10分。</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307"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b/>
                <w:i w:val="0"/>
                <w:color w:val="auto"/>
                <w:kern w:val="0"/>
                <w:sz w:val="21"/>
                <w:szCs w:val="21"/>
                <w:u w:val="none"/>
                <w:lang w:val="en-US" w:eastAsia="zh-CN" w:bidi="ar"/>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专业技术能力</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20</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服务团队：专职服务人员应具备</w:t>
            </w:r>
            <w:r>
              <w:rPr>
                <w:rFonts w:hint="eastAsia" w:ascii="宋体" w:hAnsi="宋体" w:cs="宋体"/>
                <w:i w:val="0"/>
                <w:color w:val="auto"/>
                <w:sz w:val="24"/>
                <w:szCs w:val="24"/>
                <w:u w:val="none"/>
                <w:lang w:val="en-US" w:eastAsia="zh-CN"/>
              </w:rPr>
              <w:t>数据知识产权登记服务经验（提供合同等证明）</w:t>
            </w:r>
            <w:r>
              <w:rPr>
                <w:rFonts w:hint="eastAsia" w:ascii="宋体" w:hAnsi="宋体" w:eastAsia="宋体" w:cs="宋体"/>
                <w:i w:val="0"/>
                <w:color w:val="auto"/>
                <w:sz w:val="24"/>
                <w:szCs w:val="24"/>
                <w:u w:val="none"/>
                <w:lang w:val="en-US" w:eastAsia="zh-CN"/>
              </w:rPr>
              <w:t>，1人得2分，最高8分。</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专家团队：入选地级市或以上知识产权专家库，专家1人得3分，（提供专家聘书或公示文件等佐证材料），最高得12分。</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1307"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50" w:lineRule="exact"/>
              <w:jc w:val="center"/>
              <w:rPr>
                <w:rFonts w:hint="eastAsia" w:ascii="仿宋_GB2312" w:hAnsi="宋体" w:eastAsia="仿宋_GB2312" w:cs="宋体"/>
                <w:color w:val="auto"/>
                <w:kern w:val="0"/>
                <w:sz w:val="24"/>
                <w:highlight w:val="none"/>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项目经验</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30</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具有指导企业开展数据知识产权登记并成功获得登记证书等相关工作经验</w:t>
            </w:r>
            <w:r>
              <w:rPr>
                <w:rFonts w:hint="eastAsia" w:ascii="宋体" w:hAnsi="宋体" w:eastAsia="宋体" w:cs="宋体"/>
                <w:i w:val="0"/>
                <w:color w:val="auto"/>
                <w:sz w:val="24"/>
                <w:szCs w:val="24"/>
                <w:u w:val="none"/>
                <w:lang w:val="en-US" w:eastAsia="zh-CN"/>
              </w:rPr>
              <w:t>，</w:t>
            </w:r>
            <w:r>
              <w:rPr>
                <w:rFonts w:hint="eastAsia" w:ascii="宋体" w:hAnsi="宋体" w:cs="宋体"/>
                <w:i w:val="0"/>
                <w:color w:val="auto"/>
                <w:sz w:val="24"/>
                <w:szCs w:val="24"/>
                <w:u w:val="none"/>
                <w:lang w:val="en-US" w:eastAsia="zh-CN"/>
              </w:rPr>
              <w:t>每指导企业获得1个数据知识产权登记证书得0.5分，</w:t>
            </w:r>
            <w:r>
              <w:rPr>
                <w:rFonts w:hint="eastAsia" w:ascii="宋体" w:hAnsi="宋体" w:eastAsia="宋体" w:cs="宋体"/>
                <w:i w:val="0"/>
                <w:color w:val="auto"/>
                <w:sz w:val="24"/>
                <w:szCs w:val="24"/>
                <w:u w:val="none"/>
                <w:lang w:val="en-US" w:eastAsia="zh-CN"/>
              </w:rPr>
              <w:t>最高</w:t>
            </w:r>
            <w:r>
              <w:rPr>
                <w:rFonts w:hint="eastAsia" w:ascii="宋体" w:hAnsi="宋体" w:cs="宋体"/>
                <w:i w:val="0"/>
                <w:color w:val="auto"/>
                <w:sz w:val="24"/>
                <w:szCs w:val="24"/>
                <w:u w:val="none"/>
                <w:lang w:val="en-US" w:eastAsia="zh-CN"/>
              </w:rPr>
              <w:t>30</w:t>
            </w:r>
            <w:r>
              <w:rPr>
                <w:rFonts w:hint="eastAsia" w:ascii="宋体" w:hAnsi="宋体" w:eastAsia="宋体" w:cs="宋体"/>
                <w:i w:val="0"/>
                <w:color w:val="auto"/>
                <w:sz w:val="24"/>
                <w:szCs w:val="24"/>
                <w:u w:val="none"/>
                <w:lang w:val="en-US" w:eastAsia="zh-CN"/>
              </w:rPr>
              <w:t>分。（</w:t>
            </w:r>
            <w:r>
              <w:rPr>
                <w:rFonts w:hint="eastAsia" w:ascii="宋体" w:hAnsi="宋体" w:cs="宋体"/>
                <w:i w:val="0"/>
                <w:color w:val="auto"/>
                <w:sz w:val="24"/>
                <w:szCs w:val="24"/>
                <w:u w:val="none"/>
                <w:lang w:val="en-US" w:eastAsia="zh-CN"/>
              </w:rPr>
              <w:t>需提供相关佐证材料</w:t>
            </w:r>
            <w:r>
              <w:rPr>
                <w:rFonts w:hint="eastAsia" w:ascii="宋体" w:hAnsi="宋体" w:eastAsia="宋体" w:cs="宋体"/>
                <w:i w:val="0"/>
                <w:color w:val="auto"/>
                <w:sz w:val="24"/>
                <w:szCs w:val="24"/>
                <w:u w:val="none"/>
                <w:lang w:val="en-US" w:eastAsia="zh-CN"/>
              </w:rPr>
              <w:t>）</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仿宋_GB2312" w:hAnsi="宋体" w:eastAsia="仿宋_GB2312" w:cs="宋体"/>
                <w:color w:val="auto"/>
                <w:kern w:val="0"/>
                <w:sz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307" w:type="dxa"/>
            <w:vMerge w:val="restart"/>
            <w:vAlign w:val="center"/>
          </w:tcPr>
          <w:p>
            <w:pPr>
              <w:pStyle w:val="8"/>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工作方案</w:t>
            </w:r>
          </w:p>
          <w:p>
            <w:pPr>
              <w:pStyle w:val="8"/>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w:t>
            </w:r>
            <w:r>
              <w:rPr>
                <w:rFonts w:hint="eastAsia" w:ascii="宋体" w:hAnsi="宋体" w:cs="宋体"/>
                <w:b/>
                <w:i w:val="0"/>
                <w:color w:val="auto"/>
                <w:kern w:val="0"/>
                <w:sz w:val="21"/>
                <w:szCs w:val="21"/>
                <w:u w:val="none"/>
                <w:lang w:val="en-US" w:eastAsia="zh-CN" w:bidi="ar"/>
              </w:rPr>
              <w:t>30</w:t>
            </w:r>
            <w:r>
              <w:rPr>
                <w:rFonts w:hint="eastAsia" w:ascii="宋体" w:hAnsi="宋体" w:eastAsia="宋体" w:cs="宋体"/>
                <w:b/>
                <w:i w:val="0"/>
                <w:color w:val="auto"/>
                <w:kern w:val="0"/>
                <w:sz w:val="21"/>
                <w:szCs w:val="21"/>
                <w:u w:val="none"/>
                <w:lang w:val="en-US" w:eastAsia="zh-CN" w:bidi="ar"/>
              </w:rPr>
              <w:t>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r>
              <w:rPr>
                <w:rFonts w:hint="default" w:ascii="宋体" w:hAnsi="宋体" w:eastAsia="宋体" w:cs="宋体"/>
                <w:i w:val="0"/>
                <w:color w:val="auto"/>
                <w:sz w:val="24"/>
                <w:szCs w:val="24"/>
                <w:u w:val="none"/>
                <w:lang w:val="en-US" w:eastAsia="zh-CN"/>
              </w:rPr>
              <w:t>目标任务及工作内容</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default" w:ascii="宋体" w:hAnsi="宋体" w:eastAsia="宋体" w:cs="宋体"/>
                <w:i w:val="0"/>
                <w:color w:val="auto"/>
                <w:sz w:val="24"/>
                <w:szCs w:val="24"/>
                <w:u w:val="none"/>
                <w:lang w:val="en-US" w:eastAsia="zh-CN"/>
              </w:rPr>
              <w:t>10</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方案有明确</w:t>
            </w:r>
            <w:r>
              <w:rPr>
                <w:rFonts w:hint="default" w:ascii="宋体" w:hAnsi="宋体" w:eastAsia="宋体" w:cs="宋体"/>
                <w:i w:val="0"/>
                <w:color w:val="auto"/>
                <w:sz w:val="24"/>
                <w:szCs w:val="24"/>
                <w:u w:val="none"/>
                <w:lang w:val="en-US" w:eastAsia="zh-CN"/>
              </w:rPr>
              <w:t>目标任务</w:t>
            </w:r>
            <w:r>
              <w:rPr>
                <w:rFonts w:hint="eastAsia" w:ascii="宋体" w:hAnsi="宋体" w:eastAsia="宋体" w:cs="宋体"/>
                <w:i w:val="0"/>
                <w:color w:val="auto"/>
                <w:sz w:val="24"/>
                <w:szCs w:val="24"/>
                <w:u w:val="none"/>
                <w:lang w:val="en-US" w:eastAsia="zh-CN"/>
              </w:rPr>
              <w:t>的,最高得5分，有明确</w:t>
            </w:r>
            <w:r>
              <w:rPr>
                <w:rFonts w:hint="default" w:ascii="宋体" w:hAnsi="宋体" w:eastAsia="宋体" w:cs="宋体"/>
                <w:i w:val="0"/>
                <w:color w:val="auto"/>
                <w:sz w:val="24"/>
                <w:szCs w:val="24"/>
                <w:u w:val="none"/>
                <w:lang w:val="en-US" w:eastAsia="zh-CN"/>
              </w:rPr>
              <w:t>工作内容的</w:t>
            </w:r>
            <w:r>
              <w:rPr>
                <w:rFonts w:hint="eastAsia" w:ascii="宋体" w:hAnsi="宋体" w:eastAsia="宋体" w:cs="宋体"/>
                <w:i w:val="0"/>
                <w:color w:val="auto"/>
                <w:sz w:val="24"/>
                <w:szCs w:val="24"/>
                <w:u w:val="none"/>
                <w:lang w:val="en-US" w:eastAsia="zh-CN"/>
              </w:rPr>
              <w:t xml:space="preserve">，最高得5分。没有则不得分。   </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307"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50" w:lineRule="exact"/>
              <w:jc w:val="center"/>
              <w:rPr>
                <w:rFonts w:hint="eastAsia" w:ascii="宋体" w:hAnsi="宋体" w:eastAsia="宋体" w:cs="宋体"/>
                <w:b/>
                <w:i w:val="0"/>
                <w:color w:val="auto"/>
                <w:kern w:val="0"/>
                <w:sz w:val="21"/>
                <w:szCs w:val="21"/>
                <w:u w:val="none"/>
                <w:lang w:val="en-US" w:eastAsia="zh-CN" w:bidi="ar"/>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重点难点分析</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方案对本项目实施的重点难点有明确分析的，最高得5分，有明确提出应对措施的，最高得5分，没有不得分。</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仿宋_GB2312" w:hAnsi="宋体" w:eastAsia="仿宋_GB2312" w:cs="仿宋_GB2312"/>
                <w:i w:val="0"/>
                <w:iCs w:val="0"/>
                <w:color w:val="auto"/>
                <w:kern w:val="0"/>
                <w:sz w:val="24"/>
                <w:szCs w:val="24"/>
                <w:highlight w:val="none"/>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307" w:type="dxa"/>
            <w:vMerge w:val="continue"/>
            <w:vAlign w:val="center"/>
          </w:tcPr>
          <w:p>
            <w:pPr>
              <w:pStyle w:val="8"/>
              <w:keepNext w:val="0"/>
              <w:keepLines w:val="0"/>
              <w:pageBreakBefore w:val="0"/>
              <w:widowControl/>
              <w:kinsoku/>
              <w:wordWrap/>
              <w:overflowPunct/>
              <w:topLinePunct w:val="0"/>
              <w:autoSpaceDE/>
              <w:autoSpaceDN/>
              <w:bidi w:val="0"/>
              <w:adjustRightInd/>
              <w:snapToGrid/>
              <w:spacing w:line="350" w:lineRule="exact"/>
              <w:jc w:val="center"/>
              <w:rPr>
                <w:rFonts w:hint="eastAsia" w:ascii="仿宋_GB2312" w:hAnsi="宋体" w:eastAsia="仿宋_GB2312" w:cs="宋体"/>
                <w:color w:val="auto"/>
                <w:kern w:val="0"/>
                <w:sz w:val="24"/>
                <w:highlight w:val="none"/>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sz w:val="24"/>
                <w:szCs w:val="24"/>
                <w:u w:val="none"/>
                <w:lang w:val="en-US" w:eastAsia="zh-CN"/>
              </w:rPr>
              <w:t>项目计划进度及成果</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sz w:val="24"/>
                <w:szCs w:val="24"/>
                <w:u w:val="none"/>
                <w:lang w:val="en-US" w:eastAsia="zh-CN"/>
              </w:rPr>
              <w:t>10</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sz w:val="24"/>
                <w:szCs w:val="24"/>
                <w:u w:val="none"/>
                <w:lang w:val="en-US" w:eastAsia="zh-CN"/>
              </w:rPr>
              <w:t>方案中实施计划清晰的，最高得5分，有预期成果及考核指标的，最高得5分。没有则不得分。</w:t>
            </w:r>
          </w:p>
        </w:tc>
        <w:tc>
          <w:tcPr>
            <w:tcW w:w="811" w:type="dxa"/>
            <w:vAlign w:val="center"/>
          </w:tcPr>
          <w:p>
            <w:pPr>
              <w:pStyle w:val="8"/>
              <w:keepNext w:val="0"/>
              <w:keepLines w:val="0"/>
              <w:pageBreakBefore w:val="0"/>
              <w:widowControl/>
              <w:kinsoku/>
              <w:wordWrap/>
              <w:overflowPunct/>
              <w:topLinePunct w:val="0"/>
              <w:autoSpaceDE/>
              <w:autoSpaceDN/>
              <w:bidi w:val="0"/>
              <w:adjustRightInd/>
              <w:snapToGrid/>
              <w:spacing w:line="350" w:lineRule="exact"/>
              <w:rPr>
                <w:rFonts w:hint="eastAsia" w:ascii="仿宋_GB2312" w:hAnsi="宋体" w:eastAsia="仿宋_GB2312" w:cs="宋体"/>
                <w:color w:val="auto"/>
                <w:kern w:val="0"/>
                <w:sz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1307" w:type="dxa"/>
            <w:vAlign w:val="center"/>
          </w:tcPr>
          <w:p>
            <w:pPr>
              <w:keepNext w:val="0"/>
              <w:keepLines w:val="0"/>
              <w:pageBreakBefore w:val="0"/>
              <w:kinsoku/>
              <w:wordWrap/>
              <w:overflowPunct/>
              <w:topLinePunct w:val="0"/>
              <w:autoSpaceDE/>
              <w:autoSpaceDN/>
              <w:bidi w:val="0"/>
              <w:adjustRightInd/>
              <w:snapToGrid/>
              <w:spacing w:line="350" w:lineRule="exact"/>
              <w:jc w:val="center"/>
              <w:rPr>
                <w:rFonts w:hint="eastAsia" w:ascii="宋体" w:hAnsi="宋体" w:cs="宋体"/>
                <w:b/>
                <w:i w:val="0"/>
                <w:color w:val="auto"/>
                <w:sz w:val="21"/>
                <w:szCs w:val="21"/>
                <w:highlight w:val="none"/>
                <w:u w:val="none"/>
                <w:lang w:val="en-US" w:eastAsia="zh-CN"/>
              </w:rPr>
            </w:pPr>
            <w:r>
              <w:rPr>
                <w:rFonts w:hint="eastAsia" w:ascii="宋体" w:hAnsi="宋体" w:cs="宋体"/>
                <w:b/>
                <w:i w:val="0"/>
                <w:color w:val="auto"/>
                <w:sz w:val="21"/>
                <w:szCs w:val="21"/>
                <w:highlight w:val="none"/>
                <w:u w:val="none"/>
                <w:lang w:val="en-US" w:eastAsia="zh-CN"/>
              </w:rPr>
              <w:t>价格</w:t>
            </w:r>
          </w:p>
          <w:p>
            <w:pPr>
              <w:keepNext w:val="0"/>
              <w:keepLines w:val="0"/>
              <w:pageBreakBefore w:val="0"/>
              <w:kinsoku/>
              <w:wordWrap/>
              <w:overflowPunct/>
              <w:topLinePunct w:val="0"/>
              <w:autoSpaceDE/>
              <w:autoSpaceDN/>
              <w:bidi w:val="0"/>
              <w:adjustRightInd/>
              <w:snapToGrid/>
              <w:spacing w:line="350" w:lineRule="exact"/>
              <w:jc w:val="center"/>
              <w:rPr>
                <w:rFonts w:hint="eastAsia" w:ascii="仿宋_GB2312" w:hAnsi="宋体" w:eastAsia="仿宋_GB2312" w:cs="宋体"/>
                <w:color w:val="auto"/>
                <w:kern w:val="0"/>
                <w:sz w:val="24"/>
                <w:highlight w:val="none"/>
              </w:rPr>
            </w:pPr>
            <w:r>
              <w:rPr>
                <w:rFonts w:hint="eastAsia" w:ascii="宋体" w:hAnsi="宋体" w:cs="宋体"/>
                <w:b/>
                <w:i w:val="0"/>
                <w:color w:val="auto"/>
                <w:sz w:val="21"/>
                <w:szCs w:val="21"/>
                <w:highlight w:val="none"/>
                <w:u w:val="none"/>
                <w:lang w:val="en-US" w:eastAsia="zh-CN"/>
              </w:rPr>
              <w:t>（10分）</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报价情况</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left"/>
              <w:textAlignment w:val="auto"/>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项目经费安排合理、符合政府项目支出科目及自筹资金情况等，最高得</w:t>
            </w:r>
            <w:r>
              <w:rPr>
                <w:rFonts w:hint="eastAsia" w:ascii="宋体" w:hAnsi="宋体" w:cs="宋体"/>
                <w:i w:val="0"/>
                <w:color w:val="auto"/>
                <w:sz w:val="24"/>
                <w:szCs w:val="24"/>
                <w:highlight w:val="none"/>
                <w:u w:val="none"/>
                <w:lang w:val="en-US" w:eastAsia="zh-CN"/>
              </w:rPr>
              <w:t>10</w:t>
            </w:r>
            <w:r>
              <w:rPr>
                <w:rFonts w:hint="eastAsia" w:ascii="宋体" w:hAnsi="宋体" w:eastAsia="宋体" w:cs="宋体"/>
                <w:i w:val="0"/>
                <w:color w:val="auto"/>
                <w:sz w:val="24"/>
                <w:szCs w:val="24"/>
                <w:highlight w:val="none"/>
                <w:u w:val="none"/>
                <w:lang w:val="en-US" w:eastAsia="zh-CN"/>
              </w:rPr>
              <w:t>分。</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817" w:type="dxa"/>
            <w:gridSpan w:val="4"/>
            <w:vAlign w:val="center"/>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合计：</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宋体" w:hAnsi="宋体" w:eastAsia="宋体" w:cs="宋体"/>
                <w:i w:val="0"/>
                <w:color w:val="auto"/>
                <w:sz w:val="24"/>
                <w:szCs w:val="24"/>
                <w:u w:val="none"/>
                <w:lang w:val="en-US" w:eastAsia="zh-CN"/>
              </w:rPr>
            </w:pPr>
          </w:p>
        </w:tc>
      </w:tr>
    </w:tbl>
    <w:p>
      <w:pPr>
        <w:rPr>
          <w:rFonts w:hint="eastAsia" w:ascii="宋体" w:hAnsi="宋体" w:eastAsia="宋体" w:cs="宋体"/>
          <w:b/>
          <w:bCs/>
          <w:color w:val="auto"/>
          <w:sz w:val="24"/>
          <w:szCs w:val="24"/>
          <w:highlight w:val="none"/>
          <w:lang w:val="en-US" w:eastAsia="zh-CN"/>
        </w:rPr>
      </w:pPr>
    </w:p>
    <w:p>
      <w:pPr>
        <w:ind w:firstLine="963" w:firstLineChars="4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评审专家签名：                          评审日期：</w:t>
      </w:r>
    </w:p>
    <w:p>
      <w:pPr>
        <w:rPr>
          <w:rFonts w:hint="eastAsia" w:ascii="宋体" w:hAnsi="宋体" w:eastAsia="宋体" w:cs="宋体"/>
          <w:b/>
          <w:bCs/>
          <w:color w:val="auto"/>
          <w:sz w:val="24"/>
          <w:szCs w:val="24"/>
          <w:highlight w:val="none"/>
          <w:lang w:val="en-US" w:eastAsia="zh-CN"/>
        </w:rPr>
      </w:pPr>
    </w:p>
    <w:p>
      <w:pPr>
        <w:rPr>
          <w:color w:val="auto"/>
        </w:rPr>
      </w:pPr>
    </w:p>
    <w:p>
      <w:pPr>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体 (正文)">
    <w:altName w:val="方正书宋_GBK"/>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jkyODhmNTA0MDRhY2U2N2Q0YjI1ZjJjZTFjNDAifQ=="/>
    <w:docVar w:name="KSO_WPS_MARK_KEY" w:val="eeafb275-c58f-4e45-9823-23d02792f790"/>
  </w:docVars>
  <w:rsids>
    <w:rsidRoot w:val="7422747F"/>
    <w:rsid w:val="09A90060"/>
    <w:rsid w:val="0EBE0AFF"/>
    <w:rsid w:val="145F3134"/>
    <w:rsid w:val="182C6223"/>
    <w:rsid w:val="18335027"/>
    <w:rsid w:val="18607150"/>
    <w:rsid w:val="192A01EF"/>
    <w:rsid w:val="19EF056A"/>
    <w:rsid w:val="1B787AF3"/>
    <w:rsid w:val="1C8B27CB"/>
    <w:rsid w:val="250B7FE3"/>
    <w:rsid w:val="2BB97AC8"/>
    <w:rsid w:val="2C000C0D"/>
    <w:rsid w:val="2E6D058F"/>
    <w:rsid w:val="2F4862FA"/>
    <w:rsid w:val="303074BA"/>
    <w:rsid w:val="314A45AB"/>
    <w:rsid w:val="32FC18D5"/>
    <w:rsid w:val="35E60E97"/>
    <w:rsid w:val="376736A9"/>
    <w:rsid w:val="3B6E73D0"/>
    <w:rsid w:val="3BA174BE"/>
    <w:rsid w:val="3BDC3DA1"/>
    <w:rsid w:val="3DFE3594"/>
    <w:rsid w:val="3DFF3E6B"/>
    <w:rsid w:val="3FAB4812"/>
    <w:rsid w:val="42516448"/>
    <w:rsid w:val="488E3B74"/>
    <w:rsid w:val="4BB46D99"/>
    <w:rsid w:val="4BD05C56"/>
    <w:rsid w:val="4BD570A5"/>
    <w:rsid w:val="51CB0296"/>
    <w:rsid w:val="57733EE6"/>
    <w:rsid w:val="59267811"/>
    <w:rsid w:val="5B8C7375"/>
    <w:rsid w:val="63F50CD8"/>
    <w:rsid w:val="645962D8"/>
    <w:rsid w:val="64951C9A"/>
    <w:rsid w:val="65A2225D"/>
    <w:rsid w:val="66B9305E"/>
    <w:rsid w:val="676770AF"/>
    <w:rsid w:val="6AB05F68"/>
    <w:rsid w:val="6C042FCD"/>
    <w:rsid w:val="6E6560D5"/>
    <w:rsid w:val="6ECA37D6"/>
    <w:rsid w:val="71573EF4"/>
    <w:rsid w:val="7422747F"/>
    <w:rsid w:val="76633322"/>
    <w:rsid w:val="77023178"/>
    <w:rsid w:val="77E778CB"/>
    <w:rsid w:val="7921017B"/>
    <w:rsid w:val="79D25CB5"/>
    <w:rsid w:val="7A9874DF"/>
    <w:rsid w:val="7B5A49B8"/>
    <w:rsid w:val="7DFC39FA"/>
    <w:rsid w:val="7EEF6E9E"/>
    <w:rsid w:val="7FD430C5"/>
    <w:rsid w:val="7FFFC95C"/>
    <w:rsid w:val="A78F54A6"/>
    <w:rsid w:val="F2F60FE7"/>
    <w:rsid w:val="FE7B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360" w:lineRule="auto"/>
    </w:pPr>
    <w:rPr>
      <w:rFonts w:hAnsi="宋体"/>
      <w:kern w:val="2"/>
      <w:sz w:val="28"/>
      <w:szCs w:val="24"/>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9"/>
    <w:basedOn w:val="1"/>
    <w:next w:val="1"/>
    <w:qFormat/>
    <w:uiPriority w:val="0"/>
    <w:pPr>
      <w:widowControl/>
      <w:spacing w:line="360" w:lineRule="auto"/>
      <w:ind w:left="2160" w:hanging="240"/>
      <w:jc w:val="left"/>
    </w:pPr>
    <w:rPr>
      <w:lang w:val="en-GB" w:eastAsia="en-US"/>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946</Words>
  <Characters>985</Characters>
  <Lines>0</Lines>
  <Paragraphs>0</Paragraphs>
  <TotalTime>42</TotalTime>
  <ScaleCrop>false</ScaleCrop>
  <LinksUpToDate>false</LinksUpToDate>
  <CharactersWithSpaces>1016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2022-08-24T05:13:00Z</dcterms:created>
  <dc:creator>AMANDA谢</dc:creator>
  <cp:lastModifiedBy>传入的名字</cp:lastModifiedBy>
  <cp:lastPrinted>2025-07-25T23:59:00Z</cp:lastPrinted>
  <dcterms:modified xsi:type="dcterms:W3CDTF">2025-07-29T10:19:05Z</dcterms:modified>
  <dc:title>知识产权纠纷行政裁决效能提升项目评分标准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59914608F85963C1053DB467A1E913B9</vt:lpwstr>
  </property>
</Properties>
</file>