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ind w:left="0"/>
        <w:jc w:val="both"/>
        <w:textAlignment w:val="auto"/>
        <w:rPr>
          <w:rFonts w:hint="default" w:ascii="Times New Roman" w:hAnsi="Times New Roman" w:eastAsia="黑体" w:cs="Times New Roman"/>
          <w:b w:val="0"/>
          <w:bCs w:val="0"/>
          <w:snapToGrid/>
          <w:color w:val="auto"/>
          <w:kern w:val="2"/>
          <w:sz w:val="32"/>
          <w:szCs w:val="32"/>
          <w:lang w:val="en-US" w:eastAsia="zh-CN"/>
        </w:rPr>
      </w:pPr>
      <w:bookmarkStart w:id="0" w:name="_GoBack"/>
      <w:r>
        <w:rPr>
          <w:rFonts w:hint="default" w:ascii="Times New Roman" w:hAnsi="Times New Roman" w:eastAsia="黑体" w:cs="Times New Roman"/>
          <w:b w:val="0"/>
          <w:bCs w:val="0"/>
          <w:snapToGrid/>
          <w:color w:val="auto"/>
          <w:kern w:val="2"/>
          <w:sz w:val="32"/>
          <w:szCs w:val="32"/>
          <w:lang w:eastAsia="zh-CN"/>
        </w:rPr>
        <w:t>附件</w:t>
      </w:r>
      <w:r>
        <w:rPr>
          <w:rFonts w:hint="default" w:ascii="Times New Roman" w:hAnsi="Times New Roman" w:eastAsia="黑体" w:cs="Times New Roman"/>
          <w:b w:val="0"/>
          <w:bCs w:val="0"/>
          <w:snapToGrid/>
          <w:color w:val="auto"/>
          <w:kern w:val="2"/>
          <w:sz w:val="32"/>
          <w:szCs w:val="32"/>
          <w:lang w:val="en-US" w:eastAsia="zh-CN"/>
        </w:rPr>
        <w:t>2</w:t>
      </w:r>
    </w:p>
    <w:p>
      <w:pPr>
        <w:pStyle w:val="2"/>
        <w:keepNext w:val="0"/>
        <w:keepLines w:val="0"/>
        <w:pageBreakBefore w:val="0"/>
        <w:widowControl w:val="0"/>
        <w:overflowPunct/>
        <w:topLinePunct w:val="0"/>
        <w:bidi w:val="0"/>
        <w:spacing w:before="0" w:beforeLines="0" w:after="0" w:afterLines="0" w:line="600" w:lineRule="exact"/>
        <w:ind w:left="0"/>
        <w:jc w:val="both"/>
        <w:rPr>
          <w:rFonts w:hint="default" w:ascii="Times New Roman" w:hAnsi="Times New Roman" w:cs="Times New Roman"/>
          <w:b w:val="0"/>
          <w:bCs w:val="0"/>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简体" w:cs="Times New Roman"/>
          <w:b w:val="0"/>
          <w:bCs w:val="0"/>
          <w:snapToGrid/>
          <w:color w:val="auto"/>
          <w:kern w:val="2"/>
          <w:sz w:val="44"/>
          <w:szCs w:val="44"/>
          <w:lang w:val="en-US" w:eastAsia="zh-CN"/>
        </w:rPr>
      </w:pPr>
      <w:r>
        <w:rPr>
          <w:rFonts w:hint="default" w:ascii="Times New Roman" w:hAnsi="Times New Roman" w:eastAsia="方正小标宋简体" w:cs="Times New Roman"/>
          <w:b w:val="0"/>
          <w:bCs w:val="0"/>
          <w:snapToGrid/>
          <w:color w:val="auto"/>
          <w:kern w:val="2"/>
          <w:sz w:val="44"/>
          <w:szCs w:val="44"/>
          <w:lang w:val="en-US" w:eastAsia="zh-CN"/>
        </w:rPr>
        <w:t>广州市人工智能应用赋能中心</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简体" w:cs="Times New Roman"/>
          <w:b w:val="0"/>
          <w:bCs w:val="0"/>
          <w:snapToGrid/>
          <w:color w:val="FF0000"/>
          <w:kern w:val="2"/>
          <w:sz w:val="44"/>
          <w:szCs w:val="44"/>
          <w:lang w:val="en-US" w:eastAsia="zh-CN"/>
        </w:rPr>
      </w:pPr>
      <w:r>
        <w:rPr>
          <w:rFonts w:hint="default" w:ascii="Times New Roman" w:hAnsi="Times New Roman" w:eastAsia="方正小标宋简体" w:cs="Times New Roman"/>
          <w:b w:val="0"/>
          <w:bCs w:val="0"/>
          <w:snapToGrid/>
          <w:color w:val="auto"/>
          <w:kern w:val="2"/>
          <w:sz w:val="44"/>
          <w:szCs w:val="44"/>
          <w:lang w:val="en-US" w:eastAsia="zh-CN"/>
        </w:rPr>
        <w:t>创建指引（试行）</w:t>
      </w:r>
    </w:p>
    <w:p>
      <w:pPr>
        <w:pStyle w:val="3"/>
        <w:keepNext w:val="0"/>
        <w:keepLines w:val="0"/>
        <w:pageBreakBefore w:val="0"/>
        <w:widowControl w:val="0"/>
        <w:wordWrap/>
        <w:overflowPunct/>
        <w:topLinePunct w:val="0"/>
        <w:bidi w:val="0"/>
        <w:spacing w:line="600" w:lineRule="exact"/>
        <w:ind w:left="0"/>
        <w:jc w:val="both"/>
        <w:rPr>
          <w:rFonts w:hint="default" w:ascii="Times New Roman" w:hAnsi="Times New Roman" w:eastAsia="仿宋_GB2312" w:cs="Times New Roman"/>
          <w:b w:val="0"/>
          <w:bCs w:val="0"/>
          <w:snapToGrid w:val="0"/>
          <w:color w:val="auto"/>
          <w:kern w:val="0"/>
          <w:sz w:val="32"/>
          <w:szCs w:val="32"/>
          <w:lang w:val="en-US" w:eastAsia="en-US" w:bidi="ar-SA"/>
        </w:rPr>
      </w:pPr>
    </w:p>
    <w:p>
      <w:pPr>
        <w:pStyle w:val="3"/>
        <w:keepNext w:val="0"/>
        <w:keepLines w:val="0"/>
        <w:pageBreakBefore w:val="0"/>
        <w:widowControl w:val="0"/>
        <w:wordWrap/>
        <w:overflowPunct/>
        <w:topLinePunct w:val="0"/>
        <w:autoSpaceDE/>
        <w:autoSpaceDN/>
        <w:bidi w:val="0"/>
        <w:spacing w:line="600" w:lineRule="exact"/>
        <w:ind w:left="0" w:firstLine="640" w:firstLineChars="200"/>
        <w:jc w:val="both"/>
        <w:rPr>
          <w:rFonts w:hint="default" w:ascii="Times New Roman" w:hAnsi="Times New Roman" w:eastAsia="仿宋_GB2312" w:cs="Times New Roman"/>
          <w:b w:val="0"/>
          <w:bCs w:val="0"/>
          <w:snapToGrid w:val="0"/>
          <w:color w:val="auto"/>
          <w:kern w:val="0"/>
          <w:sz w:val="32"/>
          <w:szCs w:val="32"/>
          <w:lang w:val="en-US" w:eastAsia="en-US" w:bidi="ar-SA"/>
        </w:rPr>
      </w:pPr>
      <w:r>
        <w:rPr>
          <w:rFonts w:hint="default" w:ascii="Times New Roman" w:hAnsi="Times New Roman" w:eastAsia="仿宋_GB2312" w:cs="Times New Roman"/>
          <w:b w:val="0"/>
          <w:bCs w:val="0"/>
          <w:snapToGrid w:val="0"/>
          <w:color w:val="auto"/>
          <w:kern w:val="0"/>
          <w:sz w:val="32"/>
          <w:szCs w:val="32"/>
          <w:lang w:val="en-US" w:eastAsia="en-US" w:bidi="ar-SA"/>
        </w:rPr>
        <w:t>为深入</w:t>
      </w:r>
      <w:r>
        <w:rPr>
          <w:rFonts w:hint="default" w:ascii="Times New Roman" w:hAnsi="Times New Roman" w:eastAsia="仿宋_GB2312" w:cs="Times New Roman"/>
          <w:b w:val="0"/>
          <w:bCs w:val="0"/>
          <w:snapToGrid w:val="0"/>
          <w:color w:val="auto"/>
          <w:kern w:val="0"/>
          <w:sz w:val="32"/>
          <w:szCs w:val="32"/>
          <w:lang w:val="en-US" w:eastAsia="zh-CN" w:bidi="ar-SA"/>
        </w:rPr>
        <w:t>推进“人工智能+”</w:t>
      </w:r>
      <w:r>
        <w:rPr>
          <w:rFonts w:hint="default" w:ascii="Times New Roman" w:hAnsi="Times New Roman" w:eastAsia="仿宋_GB2312" w:cs="Times New Roman"/>
          <w:b w:val="0"/>
          <w:bCs w:val="0"/>
          <w:snapToGrid w:val="0"/>
          <w:color w:val="auto"/>
          <w:kern w:val="0"/>
          <w:sz w:val="32"/>
          <w:szCs w:val="32"/>
          <w:lang w:val="en-US" w:eastAsia="en-US" w:bidi="ar-SA"/>
        </w:rPr>
        <w:t>，支撑</w:t>
      </w:r>
      <w:r>
        <w:rPr>
          <w:rFonts w:hint="default" w:ascii="Times New Roman" w:hAnsi="Times New Roman" w:eastAsia="仿宋_GB2312" w:cs="Times New Roman"/>
          <w:b w:val="0"/>
          <w:bCs w:val="0"/>
          <w:snapToGrid w:val="0"/>
          <w:color w:val="auto"/>
          <w:kern w:val="0"/>
          <w:sz w:val="32"/>
          <w:szCs w:val="32"/>
          <w:lang w:val="en-US" w:eastAsia="zh-CN" w:bidi="ar-SA"/>
        </w:rPr>
        <w:t>人工智能赋能千行百业</w:t>
      </w:r>
      <w:r>
        <w:rPr>
          <w:rFonts w:hint="default" w:ascii="Times New Roman" w:hAnsi="Times New Roman" w:eastAsia="仿宋_GB2312" w:cs="Times New Roman"/>
          <w:b w:val="0"/>
          <w:bCs w:val="0"/>
          <w:snapToGrid w:val="0"/>
          <w:color w:val="auto"/>
          <w:kern w:val="0"/>
          <w:sz w:val="32"/>
          <w:szCs w:val="32"/>
          <w:lang w:val="en-US" w:eastAsia="en-US" w:bidi="ar-SA"/>
        </w:rPr>
        <w:t>，促进我市人工智能产业高质量发展，建设国家人工智能创新应用先导区，</w:t>
      </w:r>
      <w:r>
        <w:rPr>
          <w:rFonts w:hint="default" w:ascii="Times New Roman" w:hAnsi="Times New Roman" w:eastAsia="仿宋_GB2312" w:cs="Times New Roman"/>
          <w:b w:val="0"/>
          <w:bCs w:val="0"/>
          <w:snapToGrid w:val="0"/>
          <w:color w:val="auto"/>
          <w:kern w:val="0"/>
          <w:sz w:val="32"/>
          <w:szCs w:val="32"/>
          <w:lang w:val="en-US" w:eastAsia="zh-CN" w:bidi="ar-SA"/>
        </w:rPr>
        <w:t>广州市工业和信息化局已组织开展广州市人工智能应用赋能中心入库工作，并制定本指引。请有关单位依据赋能中心主要功能，按照赋能中心重点任务开展赋能中心创建工作。</w:t>
      </w:r>
    </w:p>
    <w:p>
      <w:pPr>
        <w:keepNext w:val="0"/>
        <w:keepLines w:val="0"/>
        <w:pageBreakBefore w:val="0"/>
        <w:widowControl w:val="0"/>
        <w:wordWrap/>
        <w:overflowPunct/>
        <w:topLinePunct w:val="0"/>
        <w:autoSpaceDE/>
        <w:autoSpaceDN/>
        <w:bidi w:val="0"/>
        <w:spacing w:line="600" w:lineRule="exact"/>
        <w:ind w:left="0" w:firstLine="664" w:firstLineChars="200"/>
        <w:jc w:val="both"/>
        <w:outlineLvl w:val="1"/>
        <w:rPr>
          <w:rFonts w:hint="default" w:ascii="Times New Roman" w:hAnsi="Times New Roman" w:eastAsia="黑体" w:cs="Times New Roman"/>
          <w:b w:val="0"/>
          <w:bCs w:val="0"/>
          <w:color w:val="auto"/>
          <w:spacing w:val="6"/>
          <w:sz w:val="32"/>
          <w:szCs w:val="32"/>
          <w:lang w:val="en-US" w:eastAsia="zh-CN"/>
        </w:rPr>
      </w:pPr>
      <w:r>
        <w:rPr>
          <w:rFonts w:hint="default" w:ascii="Times New Roman" w:hAnsi="Times New Roman" w:eastAsia="黑体" w:cs="Times New Roman"/>
          <w:b w:val="0"/>
          <w:bCs w:val="0"/>
          <w:color w:val="auto"/>
          <w:spacing w:val="6"/>
          <w:sz w:val="32"/>
          <w:szCs w:val="32"/>
        </w:rPr>
        <w:t>一、</w:t>
      </w:r>
      <w:r>
        <w:rPr>
          <w:rFonts w:hint="default" w:ascii="Times New Roman" w:hAnsi="Times New Roman" w:eastAsia="黑体" w:cs="Times New Roman"/>
          <w:b w:val="0"/>
          <w:bCs w:val="0"/>
          <w:color w:val="auto"/>
          <w:spacing w:val="6"/>
          <w:sz w:val="32"/>
          <w:szCs w:val="32"/>
          <w:lang w:val="en-US" w:eastAsia="zh-CN"/>
        </w:rPr>
        <w:t>主要目标</w:t>
      </w:r>
    </w:p>
    <w:p>
      <w:pPr>
        <w:keepNext w:val="0"/>
        <w:keepLines w:val="0"/>
        <w:pageBreakBefore w:val="0"/>
        <w:widowControl w:val="0"/>
        <w:wordWrap/>
        <w:overflowPunct/>
        <w:topLinePunct w:val="0"/>
        <w:autoSpaceDE/>
        <w:autoSpaceDN/>
        <w:bidi w:val="0"/>
        <w:spacing w:line="600" w:lineRule="exact"/>
        <w:ind w:left="0"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到2027年，分行业培育10家</w:t>
      </w:r>
      <w:r>
        <w:rPr>
          <w:rFonts w:hint="default" w:ascii="Times New Roman" w:hAnsi="Times New Roman" w:eastAsia="仿宋_GB2312" w:cs="Times New Roman"/>
          <w:b w:val="0"/>
          <w:bCs w:val="0"/>
          <w:color w:val="auto"/>
          <w:sz w:val="32"/>
          <w:szCs w:val="32"/>
          <w:lang w:val="en-US" w:eastAsia="zh-CN"/>
        </w:rPr>
        <w:t>以上</w:t>
      </w:r>
      <w:r>
        <w:rPr>
          <w:rFonts w:hint="default" w:ascii="Times New Roman" w:hAnsi="Times New Roman" w:eastAsia="仿宋_GB2312" w:cs="Times New Roman"/>
          <w:b w:val="0"/>
          <w:bCs w:val="0"/>
          <w:color w:val="auto"/>
          <w:sz w:val="32"/>
          <w:szCs w:val="32"/>
        </w:rPr>
        <w:t>深耕行业的人工智能应用赋能中心，突出</w:t>
      </w:r>
      <w:r>
        <w:rPr>
          <w:rFonts w:hint="default" w:ascii="Times New Roman" w:hAnsi="Times New Roman" w:eastAsia="仿宋_GB2312" w:cs="Times New Roman"/>
          <w:b w:val="0"/>
          <w:bCs w:val="0"/>
          <w:color w:val="auto"/>
          <w:sz w:val="32"/>
          <w:szCs w:val="32"/>
          <w:lang w:val="en-US" w:eastAsia="zh-CN"/>
        </w:rPr>
        <w:t>其资源整合、生态营造、专业</w:t>
      </w:r>
      <w:r>
        <w:rPr>
          <w:rFonts w:hint="default" w:ascii="Times New Roman" w:hAnsi="Times New Roman" w:eastAsia="仿宋_GB2312" w:cs="Times New Roman"/>
          <w:b w:val="0"/>
          <w:bCs w:val="0"/>
          <w:color w:val="auto"/>
          <w:sz w:val="32"/>
          <w:szCs w:val="32"/>
        </w:rPr>
        <w:t>服务等产业支撑功能</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推动</w:t>
      </w:r>
      <w:r>
        <w:rPr>
          <w:rFonts w:hint="default" w:ascii="Times New Roman" w:hAnsi="Times New Roman" w:eastAsia="仿宋_GB2312" w:cs="Times New Roman"/>
          <w:b w:val="0"/>
          <w:bCs w:val="0"/>
          <w:color w:val="auto"/>
          <w:sz w:val="32"/>
          <w:szCs w:val="32"/>
        </w:rPr>
        <w:t>人工智能应用在行业领域核心应用场景的深化拓展应用，营造供需高效互动、资源精准对接的人工智能产业生态。</w:t>
      </w:r>
    </w:p>
    <w:p>
      <w:pPr>
        <w:keepNext w:val="0"/>
        <w:keepLines w:val="0"/>
        <w:pageBreakBefore w:val="0"/>
        <w:widowControl w:val="0"/>
        <w:wordWrap/>
        <w:overflowPunct/>
        <w:topLinePunct w:val="0"/>
        <w:autoSpaceDE/>
        <w:autoSpaceDN/>
        <w:bidi w:val="0"/>
        <w:spacing w:line="600" w:lineRule="exact"/>
        <w:ind w:left="0" w:firstLine="640" w:firstLineChars="200"/>
        <w:jc w:val="both"/>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二、</w:t>
      </w:r>
      <w:r>
        <w:rPr>
          <w:rFonts w:hint="default" w:ascii="Times New Roman" w:hAnsi="Times New Roman" w:eastAsia="黑体" w:cs="Times New Roman"/>
          <w:b w:val="0"/>
          <w:bCs w:val="0"/>
          <w:color w:val="auto"/>
          <w:sz w:val="32"/>
          <w:szCs w:val="32"/>
          <w:lang w:val="en-US" w:eastAsia="zh-CN"/>
        </w:rPr>
        <w:t>创建主体</w:t>
      </w:r>
    </w:p>
    <w:p>
      <w:pPr>
        <w:keepNext w:val="0"/>
        <w:keepLines w:val="0"/>
        <w:pageBreakBefore w:val="0"/>
        <w:widowControl w:val="0"/>
        <w:wordWrap/>
        <w:overflowPunct/>
        <w:topLinePunct w:val="0"/>
        <w:autoSpaceDE/>
        <w:autoSpaceDN/>
        <w:bidi w:val="0"/>
        <w:spacing w:line="600" w:lineRule="exact"/>
        <w:ind w:left="0" w:firstLine="640" w:firstLineChars="20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赋能中心依托已有的人工智能服务实体机构建设，主体单位需为在广州市依法依规设立的独立法人单位，有固定的经营服务场所，有面向行业提供场地展示、供需对接、协同创新等服务的必要设施、条件和能力，财务收支状况良好，经营规范，具备可持续发展能力。</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contextualSpacing/>
        <w:jc w:val="both"/>
        <w:textAlignment w:val="auto"/>
        <w:outlineLvl w:val="0"/>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eastAsia="zh-CN"/>
        </w:rPr>
        <w:t>三</w:t>
      </w:r>
      <w:r>
        <w:rPr>
          <w:rFonts w:hint="default" w:ascii="Times New Roman" w:hAnsi="Times New Roman" w:eastAsia="黑体" w:cs="Times New Roman"/>
          <w:b w:val="0"/>
          <w:bCs w:val="0"/>
          <w:color w:val="auto"/>
          <w:sz w:val="32"/>
          <w:szCs w:val="32"/>
          <w:highlight w:val="none"/>
        </w:rPr>
        <w:t>、</w:t>
      </w:r>
      <w:r>
        <w:rPr>
          <w:rFonts w:hint="default" w:ascii="Times New Roman" w:hAnsi="Times New Roman" w:eastAsia="黑体" w:cs="Times New Roman"/>
          <w:b w:val="0"/>
          <w:bCs w:val="0"/>
          <w:color w:val="auto"/>
          <w:sz w:val="32"/>
          <w:szCs w:val="32"/>
          <w:highlight w:val="none"/>
          <w:lang w:eastAsia="zh-CN"/>
        </w:rPr>
        <w:t>赋能中心</w:t>
      </w:r>
      <w:r>
        <w:rPr>
          <w:rFonts w:hint="default" w:ascii="Times New Roman" w:hAnsi="Times New Roman" w:eastAsia="黑体" w:cs="Times New Roman"/>
          <w:b w:val="0"/>
          <w:bCs w:val="0"/>
          <w:color w:val="auto"/>
          <w:sz w:val="32"/>
          <w:szCs w:val="32"/>
          <w:highlight w:val="none"/>
          <w:lang w:val="en-US" w:eastAsia="zh-CN"/>
        </w:rPr>
        <w:t>主要功能</w:t>
      </w:r>
    </w:p>
    <w:p>
      <w:pPr>
        <w:keepNext w:val="0"/>
        <w:keepLines w:val="0"/>
        <w:pageBreakBefore w:val="0"/>
        <w:widowControl w:val="0"/>
        <w:kinsoku/>
        <w:wordWrap w:val="0"/>
        <w:overflowPunct/>
        <w:topLinePunct w:val="0"/>
        <w:autoSpaceDE/>
        <w:autoSpaceDN/>
        <w:bidi w:val="0"/>
        <w:adjustRightInd/>
        <w:snapToGrid w:val="0"/>
        <w:spacing w:line="600" w:lineRule="exact"/>
        <w:ind w:left="0" w:firstLine="640" w:firstLineChars="200"/>
        <w:contextualSpacing/>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rPr>
        <w:t>（一）</w:t>
      </w:r>
      <w:r>
        <w:rPr>
          <w:rFonts w:hint="default" w:ascii="Times New Roman" w:hAnsi="Times New Roman" w:eastAsia="楷体_GB2312" w:cs="Times New Roman"/>
          <w:b w:val="0"/>
          <w:bCs w:val="0"/>
          <w:color w:val="auto"/>
          <w:sz w:val="32"/>
          <w:szCs w:val="32"/>
          <w:highlight w:val="none"/>
          <w:lang w:val="en-US" w:eastAsia="zh-CN"/>
        </w:rPr>
        <w:t>资源整合。</w:t>
      </w:r>
      <w:r>
        <w:rPr>
          <w:rFonts w:hint="default" w:ascii="Times New Roman" w:hAnsi="Times New Roman" w:eastAsia="仿宋_GB2312" w:cs="Times New Roman"/>
          <w:b w:val="0"/>
          <w:bCs w:val="0"/>
          <w:color w:val="auto"/>
          <w:sz w:val="32"/>
          <w:szCs w:val="32"/>
          <w:highlight w:val="none"/>
          <w:lang w:val="en-US" w:eastAsia="zh-CN"/>
        </w:rPr>
        <w:t>汇聚产研用等相关资源，整合技术、产品、数据、标准、解决方案、基础设施、人才、安全等各类资源要素，创新运营模式和合作机制，促进人工智能产业资源开放与共享。</w:t>
      </w:r>
    </w:p>
    <w:p>
      <w:pPr>
        <w:keepNext w:val="0"/>
        <w:keepLines w:val="0"/>
        <w:pageBreakBefore w:val="0"/>
        <w:widowControl w:val="0"/>
        <w:kinsoku/>
        <w:wordWrap w:val="0"/>
        <w:overflowPunct/>
        <w:topLinePunct w:val="0"/>
        <w:autoSpaceDE/>
        <w:autoSpaceDN/>
        <w:bidi w:val="0"/>
        <w:adjustRightInd/>
        <w:snapToGrid w:val="0"/>
        <w:spacing w:line="600" w:lineRule="exact"/>
        <w:ind w:left="0" w:firstLine="640" w:firstLineChars="200"/>
        <w:contextualSpacing/>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（二）生态营造</w:t>
      </w:r>
      <w:r>
        <w:rPr>
          <w:rFonts w:hint="default" w:ascii="Times New Roman" w:hAnsi="Times New Roman" w:eastAsia="仿宋_GB2312" w:cs="Times New Roman"/>
          <w:b w:val="0"/>
          <w:bCs w:val="0"/>
          <w:color w:val="auto"/>
          <w:sz w:val="32"/>
          <w:szCs w:val="32"/>
          <w:highlight w:val="none"/>
          <w:lang w:val="en-US" w:eastAsia="zh-CN"/>
        </w:rPr>
        <w:t>。通过供需合作等多种形式营造人工智能产业良好生态，加快优秀解决方案和典型应用案例复制推广，促进政策宣贯与落实，提高人工智能赋能成效。</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contextualSpacing/>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val="en-US" w:eastAsia="zh-CN"/>
        </w:rPr>
        <w:t>三</w:t>
      </w:r>
      <w:r>
        <w:rPr>
          <w:rFonts w:hint="default"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val="en-US" w:eastAsia="zh-CN"/>
        </w:rPr>
        <w:t>专业服务。</w:t>
      </w:r>
      <w:r>
        <w:rPr>
          <w:rFonts w:hint="default" w:ascii="Times New Roman" w:hAnsi="Times New Roman" w:eastAsia="仿宋_GB2312" w:cs="Times New Roman"/>
          <w:b w:val="0"/>
          <w:bCs w:val="0"/>
          <w:color w:val="auto"/>
          <w:sz w:val="32"/>
          <w:szCs w:val="32"/>
          <w:highlight w:val="none"/>
          <w:lang w:val="en-US" w:eastAsia="zh-CN"/>
        </w:rPr>
        <w:t>面向行业企业提供评估咨询、技术集成、方案开发等专业服务。积累数据集、模型库、工具集等资源，降低企业开发成本。挖掘高价值行业共性应用场景，形成场景应用案例。</w:t>
      </w:r>
    </w:p>
    <w:p>
      <w:pPr>
        <w:keepNext w:val="0"/>
        <w:keepLines w:val="0"/>
        <w:pageBreakBefore w:val="0"/>
        <w:widowControl w:val="0"/>
        <w:wordWrap/>
        <w:overflowPunct/>
        <w:topLinePunct w:val="0"/>
        <w:autoSpaceDE/>
        <w:autoSpaceDN/>
        <w:bidi w:val="0"/>
        <w:spacing w:line="600" w:lineRule="exact"/>
        <w:ind w:left="0" w:firstLine="664" w:firstLineChars="200"/>
        <w:jc w:val="both"/>
        <w:outlineLvl w:val="1"/>
        <w:rPr>
          <w:rFonts w:hint="default" w:ascii="Times New Roman" w:hAnsi="Times New Roman" w:eastAsia="黑体" w:cs="Times New Roman"/>
          <w:b w:val="0"/>
          <w:bCs w:val="0"/>
          <w:color w:val="auto"/>
          <w:spacing w:val="6"/>
          <w:sz w:val="32"/>
          <w:szCs w:val="32"/>
          <w:lang w:val="en-US" w:eastAsia="zh-CN"/>
        </w:rPr>
      </w:pPr>
      <w:r>
        <w:rPr>
          <w:rFonts w:hint="default" w:ascii="Times New Roman" w:hAnsi="Times New Roman" w:eastAsia="黑体" w:cs="Times New Roman"/>
          <w:b w:val="0"/>
          <w:bCs w:val="0"/>
          <w:color w:val="auto"/>
          <w:spacing w:val="6"/>
          <w:sz w:val="32"/>
          <w:szCs w:val="32"/>
          <w:lang w:val="en-US" w:eastAsia="zh-CN"/>
        </w:rPr>
        <w:t>四、赋能中心重点任务</w:t>
      </w:r>
    </w:p>
    <w:p>
      <w:pPr>
        <w:keepNext w:val="0"/>
        <w:keepLines w:val="0"/>
        <w:pageBreakBefore w:val="0"/>
        <w:widowControl w:val="0"/>
        <w:kinsoku/>
        <w:wordWrap w:val="0"/>
        <w:overflowPunct/>
        <w:topLinePunct w:val="0"/>
        <w:autoSpaceDE/>
        <w:autoSpaceDN/>
        <w:bidi w:val="0"/>
        <w:adjustRightInd/>
        <w:snapToGrid w:val="0"/>
        <w:spacing w:line="600" w:lineRule="exact"/>
        <w:ind w:left="0" w:firstLine="640" w:firstLineChars="200"/>
        <w:contextualSpacing/>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（一）</w:t>
      </w:r>
      <w:r>
        <w:rPr>
          <w:rFonts w:hint="default" w:ascii="Times New Roman" w:hAnsi="Times New Roman" w:eastAsia="楷体_GB2312" w:cs="Times New Roman"/>
          <w:b w:val="0"/>
          <w:bCs w:val="0"/>
          <w:color w:val="auto"/>
          <w:sz w:val="32"/>
          <w:szCs w:val="32"/>
          <w:highlight w:val="none"/>
          <w:lang w:val="en-US" w:eastAsia="zh-CN"/>
        </w:rPr>
        <w:t>供需对接。</w:t>
      </w:r>
      <w:r>
        <w:rPr>
          <w:rFonts w:hint="default" w:ascii="Times New Roman" w:hAnsi="Times New Roman" w:eastAsia="仿宋_GB2312" w:cs="Times New Roman"/>
          <w:b w:val="0"/>
          <w:bCs w:val="0"/>
          <w:color w:val="auto"/>
          <w:sz w:val="32"/>
          <w:szCs w:val="32"/>
          <w:highlight w:val="none"/>
          <w:lang w:val="en-US" w:eastAsia="zh-CN"/>
        </w:rPr>
        <w:t>围绕技术、产品、解决方案等供给侧资源和行业企业实际业务需求，建立行业应用供需收集机制，定期发布供需对接清单，组织开展供需对接。</w:t>
      </w:r>
      <w:r>
        <w:rPr>
          <w:rFonts w:hint="default" w:ascii="Times New Roman" w:hAnsi="Times New Roman" w:eastAsia="仿宋_GB2312" w:cs="Times New Roman"/>
          <w:b w:val="0"/>
          <w:bCs w:val="0"/>
          <w:color w:val="auto"/>
          <w:sz w:val="32"/>
          <w:szCs w:val="32"/>
          <w:highlight w:val="none"/>
          <w:lang w:val="en-US" w:eastAsia="zh-CN"/>
        </w:rPr>
        <w:t>举办学术研讨、技术交流、创新创业大赛等活动</w:t>
      </w:r>
      <w:r>
        <w:rPr>
          <w:rFonts w:hint="default" w:ascii="Times New Roman" w:hAnsi="Times New Roman" w:eastAsia="仿宋_GB2312" w:cs="Times New Roman"/>
          <w:b w:val="0"/>
          <w:bCs w:val="0"/>
          <w:color w:val="auto"/>
          <w:sz w:val="32"/>
          <w:szCs w:val="32"/>
          <w:highlight w:val="none"/>
          <w:lang w:val="en-US" w:eastAsia="zh-CN"/>
        </w:rPr>
        <w:t>，推动行业</w:t>
      </w:r>
      <w:r>
        <w:rPr>
          <w:rFonts w:hint="default" w:ascii="Times New Roman" w:hAnsi="Times New Roman" w:eastAsia="仿宋_GB2312" w:cs="Times New Roman"/>
          <w:b w:val="0"/>
          <w:bCs w:val="0"/>
          <w:color w:val="auto"/>
          <w:sz w:val="32"/>
          <w:szCs w:val="32"/>
          <w:highlight w:val="none"/>
          <w:lang w:val="en-US" w:eastAsia="zh-CN"/>
        </w:rPr>
        <w:t>典型应用场景的复制推广</w:t>
      </w:r>
      <w:r>
        <w:rPr>
          <w:rFonts w:hint="default" w:ascii="Times New Roman" w:hAnsi="Times New Roman" w:eastAsia="仿宋_GB2312" w:cs="Times New Roman"/>
          <w:b w:val="0"/>
          <w:bCs w:val="0"/>
          <w:color w:val="auto"/>
          <w:sz w:val="32"/>
          <w:szCs w:val="32"/>
          <w:highlight w:val="none"/>
          <w:lang w:val="en-US" w:eastAsia="zh-CN"/>
        </w:rPr>
        <w:t>，促进行业企业与专业化服务商深度合作。</w:t>
      </w:r>
    </w:p>
    <w:p>
      <w:pPr>
        <w:keepNext w:val="0"/>
        <w:keepLines w:val="0"/>
        <w:pageBreakBefore w:val="0"/>
        <w:widowControl w:val="0"/>
        <w:kinsoku/>
        <w:wordWrap w:val="0"/>
        <w:overflowPunct/>
        <w:topLinePunct w:val="0"/>
        <w:autoSpaceDE/>
        <w:autoSpaceDN/>
        <w:bidi w:val="0"/>
        <w:adjustRightInd/>
        <w:snapToGrid w:val="0"/>
        <w:spacing w:line="600" w:lineRule="exact"/>
        <w:ind w:left="0" w:firstLine="640" w:firstLineChars="200"/>
        <w:contextualSpacing/>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（二）技术研发。</w:t>
      </w:r>
      <w:r>
        <w:rPr>
          <w:rFonts w:hint="default" w:ascii="Times New Roman" w:hAnsi="Times New Roman" w:eastAsia="仿宋_GB2312" w:cs="Times New Roman"/>
          <w:b w:val="0"/>
          <w:bCs w:val="0"/>
          <w:color w:val="auto"/>
          <w:sz w:val="32"/>
          <w:szCs w:val="32"/>
          <w:highlight w:val="none"/>
          <w:lang w:val="en-US" w:eastAsia="zh-CN"/>
        </w:rPr>
        <w:t>面向重点行业提炼典型场景，围绕技术、数据、算力、标准等方面，组织行业企业和专业化服务商加快人工智能行业应用关键技术开展联合攻关，推动建设公共算力、数据管理、算法/大模型训练测试、软硬件适配等创新服务平台。研发智能设计、生产优化等通用型AI应用工具，基于行业数据构建可复制推广的工业垂类大模型，支持行业企业按需调用。</w:t>
      </w:r>
    </w:p>
    <w:p>
      <w:pPr>
        <w:keepNext w:val="0"/>
        <w:keepLines w:val="0"/>
        <w:pageBreakBefore w:val="0"/>
        <w:widowControl w:val="0"/>
        <w:kinsoku/>
        <w:wordWrap w:val="0"/>
        <w:overflowPunct/>
        <w:topLinePunct w:val="0"/>
        <w:autoSpaceDE/>
        <w:autoSpaceDN/>
        <w:bidi w:val="0"/>
        <w:adjustRightInd/>
        <w:snapToGrid w:val="0"/>
        <w:spacing w:line="600" w:lineRule="exact"/>
        <w:ind w:left="0" w:firstLine="640" w:firstLineChars="200"/>
        <w:contextualSpacing/>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（三）应用赋能。</w:t>
      </w:r>
      <w:r>
        <w:rPr>
          <w:rFonts w:hint="default" w:ascii="Times New Roman" w:hAnsi="Times New Roman" w:eastAsia="仿宋_GB2312" w:cs="Times New Roman"/>
          <w:b w:val="0"/>
          <w:bCs w:val="0"/>
          <w:color w:val="auto"/>
          <w:sz w:val="32"/>
          <w:szCs w:val="32"/>
          <w:highlight w:val="none"/>
          <w:lang w:val="en-US" w:eastAsia="zh-CN"/>
        </w:rPr>
        <w:t>面向行业企业提供评估咨询、技术集成、方案开发等专业服务。通过积累数据集、模型库、工具集等资源，逐步突出方案开发的标准化和模块化，从而降低开发成本，便于中小企业快捷部署。挖掘高价值行业共性应用场景，形成包括应用框架设计、算力资源配置、行业模型训练及微调、数据收集和处理、应用开发和部署、运行监测和管理等在内的解决方案，形成场景应用案例。</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contextualSpacing/>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val="en-US" w:eastAsia="zh-CN"/>
        </w:rPr>
        <w:t>四</w:t>
      </w:r>
      <w:r>
        <w:rPr>
          <w:rFonts w:hint="default"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val="en-US" w:eastAsia="zh-CN"/>
        </w:rPr>
        <w:t>算力联通。</w:t>
      </w:r>
      <w:r>
        <w:rPr>
          <w:rFonts w:hint="default" w:ascii="Times New Roman" w:hAnsi="Times New Roman" w:eastAsia="仿宋_GB2312" w:cs="Times New Roman"/>
          <w:b w:val="0"/>
          <w:bCs w:val="0"/>
          <w:color w:val="auto"/>
          <w:sz w:val="32"/>
          <w:szCs w:val="32"/>
          <w:highlight w:val="none"/>
          <w:lang w:val="en-US" w:eastAsia="zh-CN"/>
        </w:rPr>
        <w:t>联合广州市智算运行服务平台、广州人工智能公共算力中心等公共服务载体，整合汇聚人工智能算力等基础设施资源，为企业提供优质资源推荐、低成本资源共享和多类型资源集成应用等服务，帮助企业持续降低用算、用数、用模成本。</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contextualSpacing/>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val="en-US" w:eastAsia="zh-CN"/>
        </w:rPr>
        <w:t>五</w:t>
      </w:r>
      <w:r>
        <w:rPr>
          <w:rFonts w:hint="default"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val="en-US" w:eastAsia="zh-CN"/>
        </w:rPr>
        <w:t>数据共享</w:t>
      </w:r>
      <w:r>
        <w:rPr>
          <w:rFonts w:hint="default" w:ascii="Times New Roman" w:hAnsi="Times New Roman" w:eastAsia="仿宋_GB2312" w:cs="Times New Roman"/>
          <w:b w:val="0"/>
          <w:bCs w:val="0"/>
          <w:color w:val="auto"/>
          <w:sz w:val="32"/>
          <w:szCs w:val="32"/>
          <w:highlight w:val="none"/>
          <w:lang w:val="en-US" w:eastAsia="zh-CN"/>
        </w:rPr>
        <w:t>。探索行业数据治理标准体系建设，加快研制行业数据采集、生产加工、自动化标注、质量管控等规范。根据应用场景、模型训练等需求，推动建立数据开放清单。联合行业上下游重点企业共建高质量行业数据集，推动行业内企业的非核心、通用类数据高效流通和使用，构建标准规范、安全可信的行业数据应用生态。</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contextualSpacing/>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val="en-US" w:eastAsia="zh-CN"/>
        </w:rPr>
        <w:t>六</w:t>
      </w:r>
      <w:r>
        <w:rPr>
          <w:rFonts w:hint="default"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val="en-US" w:eastAsia="zh-CN"/>
        </w:rPr>
        <w:t>人才培训。</w:t>
      </w:r>
      <w:r>
        <w:rPr>
          <w:rFonts w:hint="default" w:ascii="Times New Roman" w:hAnsi="Times New Roman" w:eastAsia="仿宋_GB2312" w:cs="Times New Roman"/>
          <w:b w:val="0"/>
          <w:bCs w:val="0"/>
          <w:color w:val="auto"/>
          <w:sz w:val="32"/>
          <w:szCs w:val="32"/>
          <w:highlight w:val="none"/>
          <w:lang w:val="en-US" w:eastAsia="zh-CN"/>
        </w:rPr>
        <w:t>提供标准化与定制化相结合的人才培训实训服务，培育更多熟悉行业生产流程和工艺机理、具备人工智能应用赋能能力的复合型人才队伍，打造人才培训实训基地。面向行业共性需求，组织行业技术人员深度写作，组建专职顾问团队，组织开展人才交流合作。</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contextualSpacing/>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val="en-US" w:eastAsia="zh-CN"/>
        </w:rPr>
        <w:t>七</w:t>
      </w:r>
      <w:r>
        <w:rPr>
          <w:rFonts w:hint="default"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val="en-US" w:eastAsia="zh-CN"/>
        </w:rPr>
        <w:t>政策宣贯。</w:t>
      </w:r>
      <w:r>
        <w:rPr>
          <w:rFonts w:hint="default" w:ascii="Times New Roman" w:hAnsi="Times New Roman" w:eastAsia="仿宋_GB2312" w:cs="Times New Roman"/>
          <w:b w:val="0"/>
          <w:bCs w:val="0"/>
          <w:color w:val="auto"/>
          <w:sz w:val="32"/>
          <w:szCs w:val="32"/>
          <w:highlight w:val="none"/>
          <w:lang w:val="en-US" w:eastAsia="zh-CN"/>
        </w:rPr>
        <w:t>开展政策、标准等进赋能中心系列活动，加强人工智能赋能千行百业相关政策解读和标准宣贯，宣传先进理念、技术产品和解决方案，推广典型经验和模式。开展重点行业人工智能赋能新型工业化跟踪监测，共享行业发展动态，组织企业比学互鉴。</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contextualSpacing/>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（八）行业研究。</w:t>
      </w:r>
      <w:r>
        <w:rPr>
          <w:rFonts w:hint="default" w:ascii="Times New Roman" w:hAnsi="Times New Roman" w:eastAsia="仿宋_GB2312" w:cs="Times New Roman"/>
          <w:b w:val="0"/>
          <w:bCs w:val="0"/>
          <w:color w:val="auto"/>
          <w:sz w:val="32"/>
          <w:szCs w:val="32"/>
          <w:highlight w:val="none"/>
          <w:lang w:val="en-US" w:eastAsia="zh-CN"/>
        </w:rPr>
        <w:t>动态追踪</w:t>
      </w:r>
      <w:r>
        <w:rPr>
          <w:rFonts w:hint="default" w:ascii="Times New Roman" w:hAnsi="Times New Roman" w:eastAsia="仿宋_GB2312" w:cs="Times New Roman"/>
          <w:b w:val="0"/>
          <w:bCs w:val="0"/>
          <w:color w:val="auto"/>
          <w:sz w:val="32"/>
          <w:szCs w:val="32"/>
          <w:highlight w:val="none"/>
          <w:lang w:val="en-US" w:eastAsia="zh-CN"/>
        </w:rPr>
        <w:t>国内外行业人工智能应用动态，及时掌握前沿技术、创新案例及政策标准趋势。通过深度调研、研讨会等形式梳理行业内人工智能高价值应用场景，提炼行业应用共性需求。编制发布研究报告、重点行业人工智能应用指南等行业指导性文件，为产业升级提供科学决策依据。</w:t>
      </w:r>
    </w:p>
    <w:p>
      <w:pPr>
        <w:keepNext w:val="0"/>
        <w:keepLines w:val="0"/>
        <w:pageBreakBefore w:val="0"/>
        <w:widowControl w:val="0"/>
        <w:wordWrap/>
        <w:overflowPunct/>
        <w:topLinePunct w:val="0"/>
        <w:autoSpaceDE/>
        <w:autoSpaceDN/>
        <w:bidi w:val="0"/>
        <w:spacing w:line="600" w:lineRule="exact"/>
        <w:ind w:left="0" w:firstLine="664" w:firstLineChars="200"/>
        <w:jc w:val="both"/>
        <w:outlineLvl w:val="1"/>
        <w:rPr>
          <w:rFonts w:hint="default" w:ascii="Times New Roman" w:hAnsi="Times New Roman" w:eastAsia="黑体" w:cs="Times New Roman"/>
          <w:b w:val="0"/>
          <w:bCs w:val="0"/>
          <w:color w:val="auto"/>
          <w:spacing w:val="6"/>
          <w:sz w:val="32"/>
          <w:szCs w:val="32"/>
          <w:lang w:val="en-US" w:eastAsia="zh-CN"/>
        </w:rPr>
      </w:pPr>
      <w:r>
        <w:rPr>
          <w:rFonts w:hint="default" w:ascii="Times New Roman" w:hAnsi="Times New Roman" w:eastAsia="黑体" w:cs="Times New Roman"/>
          <w:b w:val="0"/>
          <w:bCs w:val="0"/>
          <w:color w:val="auto"/>
          <w:spacing w:val="6"/>
          <w:sz w:val="32"/>
          <w:szCs w:val="32"/>
          <w:lang w:val="en-US" w:eastAsia="zh-CN"/>
        </w:rPr>
        <w:t>五、保障措施</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contextualSpacing/>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（一）加强组织推进。</w:t>
      </w:r>
      <w:r>
        <w:rPr>
          <w:rFonts w:hint="default" w:ascii="Times New Roman" w:hAnsi="Times New Roman" w:eastAsia="仿宋_GB2312" w:cs="Times New Roman"/>
          <w:b w:val="0"/>
          <w:bCs w:val="0"/>
          <w:color w:val="auto"/>
          <w:sz w:val="32"/>
          <w:szCs w:val="32"/>
          <w:highlight w:val="none"/>
          <w:lang w:val="en-US" w:eastAsia="zh-CN"/>
        </w:rPr>
        <w:t>广州市工业和信息化局统筹推进应用赋能中心创建工作，印发创建指引，聚焦制造、教育、生命健康、交通、能源等重点行业，指导各区工信主管部门、有关行业组织等，依托现有各类服务载体和相关企业开展应用赋能中心创建工作。</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contextualSpacing/>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（二）加强指导支持。</w:t>
      </w:r>
      <w:r>
        <w:rPr>
          <w:rFonts w:hint="default" w:ascii="Times New Roman" w:hAnsi="Times New Roman" w:eastAsia="仿宋_GB2312" w:cs="Times New Roman"/>
          <w:b w:val="0"/>
          <w:bCs w:val="0"/>
          <w:color w:val="auto"/>
          <w:sz w:val="32"/>
          <w:szCs w:val="32"/>
          <w:highlight w:val="none"/>
          <w:lang w:val="en-US" w:eastAsia="zh-CN"/>
        </w:rPr>
        <w:t>广州市工业和信息化局加强政策引导和工作指导，推动资源导入，支持应用赋能中心开展本行业工业企业人工智能赋能评估诊断、供需对接和应用落地，沉淀人工智能赋能新型工业化资源和成果。</w:t>
      </w:r>
    </w:p>
    <w:p>
      <w:pPr>
        <w:keepNext w:val="0"/>
        <w:keepLines w:val="0"/>
        <w:pageBreakBefore w:val="0"/>
        <w:widowControl w:val="0"/>
        <w:kinsoku/>
        <w:overflowPunct/>
        <w:topLinePunct w:val="0"/>
        <w:autoSpaceDE/>
        <w:autoSpaceDN/>
        <w:bidi w:val="0"/>
        <w:adjustRightInd/>
        <w:snapToGrid/>
        <w:spacing w:line="600" w:lineRule="exact"/>
        <w:ind w:left="0" w:firstLine="640" w:firstLineChars="200"/>
        <w:contextualSpacing/>
        <w:jc w:val="both"/>
        <w:textAlignment w:val="auto"/>
        <w:rPr>
          <w:rFonts w:hint="default" w:ascii="Times New Roman" w:hAnsi="Times New Roman" w:cs="Times New Roman"/>
          <w:b w:val="0"/>
          <w:bCs w:val="0"/>
          <w:sz w:val="32"/>
          <w:szCs w:val="32"/>
          <w:lang w:val="en-US" w:eastAsia="zh-CN"/>
        </w:rPr>
      </w:pPr>
      <w:r>
        <w:rPr>
          <w:rFonts w:hint="default" w:ascii="Times New Roman" w:hAnsi="Times New Roman" w:eastAsia="楷体_GB2312" w:cs="Times New Roman"/>
          <w:b w:val="0"/>
          <w:bCs w:val="0"/>
          <w:color w:val="auto"/>
          <w:sz w:val="32"/>
          <w:szCs w:val="32"/>
          <w:highlight w:val="none"/>
          <w:lang w:val="en-US" w:eastAsia="zh-CN"/>
        </w:rPr>
        <w:t>（三）加强总结推广。</w:t>
      </w:r>
      <w:r>
        <w:rPr>
          <w:rFonts w:hint="default" w:ascii="Times New Roman" w:hAnsi="Times New Roman" w:eastAsia="仿宋_GB2312" w:cs="Times New Roman"/>
          <w:b w:val="0"/>
          <w:bCs w:val="0"/>
          <w:color w:val="auto"/>
          <w:sz w:val="32"/>
          <w:szCs w:val="32"/>
          <w:highlight w:val="none"/>
          <w:lang w:val="en-US" w:eastAsia="zh-CN"/>
        </w:rPr>
        <w:t>广州市工业和信息化局不定期对应用赋能中心开展服务能力和服务效果评估，总结应用赋能中心建设成效并做好宣传推介，组织经验交流；建立需求发布响应和效果反馈评价机制，动态优化应用赋能中心体系，推动提升赋能成效。各区工信主管部门定期组织应用赋能中心开展自评估，加强常态化工作协同、业务指导和跟踪问效，做好经验成效总结。</w:t>
      </w:r>
    </w:p>
    <w:p>
      <w:pPr>
        <w:pStyle w:val="2"/>
        <w:keepNext w:val="0"/>
        <w:keepLines w:val="0"/>
        <w:pageBreakBefore w:val="0"/>
        <w:widowControl w:val="0"/>
        <w:overflowPunct/>
        <w:topLinePunct w:val="0"/>
        <w:autoSpaceDE/>
        <w:autoSpaceDN/>
        <w:bidi w:val="0"/>
        <w:spacing w:before="0" w:beforeLines="0" w:after="0" w:afterLines="0" w:line="600" w:lineRule="exact"/>
        <w:ind w:left="0"/>
        <w:jc w:val="both"/>
        <w:rPr>
          <w:rFonts w:hint="default" w:ascii="Times New Roman" w:hAnsi="Times New Roman" w:cs="Times New Roman"/>
          <w:b w:val="0"/>
          <w:bCs w:val="0"/>
          <w:sz w:val="32"/>
          <w:szCs w:val="32"/>
          <w:lang w:val="en-US" w:eastAsia="zh-CN"/>
        </w:rPr>
      </w:pPr>
    </w:p>
    <w:p>
      <w:pPr>
        <w:pStyle w:val="2"/>
        <w:keepNext w:val="0"/>
        <w:keepLines w:val="0"/>
        <w:pageBreakBefore w:val="0"/>
        <w:widowControl w:val="0"/>
        <w:overflowPunct/>
        <w:topLinePunct w:val="0"/>
        <w:autoSpaceDE/>
        <w:autoSpaceDN/>
        <w:bidi w:val="0"/>
        <w:spacing w:before="0" w:beforeLines="0" w:after="0" w:afterLines="0" w:line="600" w:lineRule="exact"/>
        <w:ind w:left="0"/>
        <w:jc w:val="both"/>
        <w:rPr>
          <w:rFonts w:hint="default" w:ascii="Times New Roman" w:hAnsi="Times New Roman" w:cs="Times New Roman"/>
          <w:b w:val="0"/>
          <w:bCs w:val="0"/>
          <w:sz w:val="32"/>
          <w:szCs w:val="32"/>
          <w:lang w:val="en-US" w:eastAsia="zh-CN"/>
        </w:rPr>
      </w:pPr>
    </w:p>
    <w:p>
      <w:pPr>
        <w:pStyle w:val="2"/>
        <w:keepNext w:val="0"/>
        <w:keepLines w:val="0"/>
        <w:pageBreakBefore w:val="0"/>
        <w:widowControl w:val="0"/>
        <w:overflowPunct/>
        <w:topLinePunct w:val="0"/>
        <w:autoSpaceDE/>
        <w:autoSpaceDN/>
        <w:bidi w:val="0"/>
        <w:spacing w:before="0" w:beforeLines="0" w:after="0" w:afterLines="0" w:line="600" w:lineRule="exact"/>
        <w:ind w:left="0"/>
        <w:jc w:val="both"/>
        <w:rPr>
          <w:rFonts w:hint="default" w:ascii="Times New Roman" w:hAnsi="Times New Roman" w:cs="Times New Roman"/>
          <w:b w:val="0"/>
          <w:bCs w:val="0"/>
          <w:sz w:val="32"/>
          <w:szCs w:val="32"/>
          <w:lang w:val="en-US" w:eastAsia="zh-CN"/>
        </w:rPr>
      </w:pPr>
    </w:p>
    <w:p>
      <w:pPr>
        <w:pStyle w:val="2"/>
        <w:keepNext w:val="0"/>
        <w:keepLines w:val="0"/>
        <w:pageBreakBefore w:val="0"/>
        <w:widowControl w:val="0"/>
        <w:overflowPunct/>
        <w:topLinePunct w:val="0"/>
        <w:autoSpaceDE/>
        <w:autoSpaceDN/>
        <w:bidi w:val="0"/>
        <w:spacing w:before="0" w:beforeLines="0" w:after="0" w:afterLines="0" w:line="600" w:lineRule="exact"/>
        <w:ind w:left="0"/>
        <w:jc w:val="both"/>
        <w:rPr>
          <w:rFonts w:hint="default" w:ascii="Times New Roman" w:hAnsi="Times New Roman" w:cs="Times New Roman"/>
          <w:b w:val="0"/>
          <w:bCs w:val="0"/>
          <w:sz w:val="32"/>
          <w:szCs w:val="32"/>
          <w:lang w:val="en-US" w:eastAsia="zh-CN"/>
        </w:rPr>
      </w:pPr>
    </w:p>
    <w:p>
      <w:pPr>
        <w:pStyle w:val="2"/>
        <w:keepNext w:val="0"/>
        <w:keepLines w:val="0"/>
        <w:pageBreakBefore w:val="0"/>
        <w:widowControl w:val="0"/>
        <w:overflowPunct/>
        <w:topLinePunct w:val="0"/>
        <w:autoSpaceDE/>
        <w:autoSpaceDN/>
        <w:bidi w:val="0"/>
        <w:spacing w:before="0" w:beforeLines="0" w:after="0" w:afterLines="0" w:line="600" w:lineRule="exact"/>
        <w:ind w:left="0"/>
        <w:jc w:val="both"/>
        <w:rPr>
          <w:rFonts w:hint="default" w:ascii="Times New Roman" w:hAnsi="Times New Roman" w:cs="Times New Roman"/>
          <w:b w:val="0"/>
          <w:bCs w:val="0"/>
          <w:sz w:val="32"/>
          <w:szCs w:val="32"/>
          <w:lang w:val="en-US"/>
        </w:rPr>
      </w:pPr>
    </w:p>
    <w:p>
      <w:pPr>
        <w:keepNext w:val="0"/>
        <w:keepLines w:val="0"/>
        <w:pageBreakBefore w:val="0"/>
        <w:widowControl w:val="0"/>
        <w:wordWrap/>
        <w:overflowPunct/>
        <w:topLinePunct w:val="0"/>
        <w:bidi w:val="0"/>
        <w:spacing w:line="600" w:lineRule="exact"/>
        <w:ind w:left="0"/>
        <w:jc w:val="both"/>
        <w:rPr>
          <w:rFonts w:hint="default" w:ascii="Times New Roman" w:hAnsi="Times New Roman" w:eastAsia="仿宋_GB2312" w:cs="Times New Roman"/>
          <w:b w:val="0"/>
          <w:bCs w:val="0"/>
          <w:color w:val="auto"/>
          <w:sz w:val="32"/>
          <w:szCs w:val="32"/>
        </w:rPr>
      </w:pPr>
    </w:p>
    <w:bookmarkEnd w:id="0"/>
    <w:sectPr>
      <w:footerReference r:id="rId5" w:type="default"/>
      <w:pgSz w:w="11906" w:h="16839"/>
      <w:pgMar w:top="1587" w:right="1474" w:bottom="1587" w:left="1531"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-807720</wp:posOffset>
              </wp:positionV>
              <wp:extent cx="1828800" cy="10718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0718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3.6pt;height:8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BYAAABkcnMvUEsBAhQAFAAAAAgAh07iQP9Nb3rbAAAADAEAAA8AAAAA&#10;AAAAAQAgAAAAOAAAAGRycy9kb3ducmV2LnhtbFBLAQIUABQAAAAIAIdO4kCaGMNK3wIAACQGAAAO&#10;AAAAAAAAAAEAIAAAAEABAABkcnMvZTJvRG9jLnhtbFBLBQYAAAAABgAGAFkBAACRBg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revisionView w:markup="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263C51"/>
    <w:rsid w:val="01316291"/>
    <w:rsid w:val="026969AE"/>
    <w:rsid w:val="059C797B"/>
    <w:rsid w:val="06E02D17"/>
    <w:rsid w:val="082F2046"/>
    <w:rsid w:val="086A6259"/>
    <w:rsid w:val="091F23FB"/>
    <w:rsid w:val="0A673A7E"/>
    <w:rsid w:val="0CDE7F70"/>
    <w:rsid w:val="0D31770D"/>
    <w:rsid w:val="0FCA38F7"/>
    <w:rsid w:val="0FF44077"/>
    <w:rsid w:val="1034712E"/>
    <w:rsid w:val="147222CA"/>
    <w:rsid w:val="17C34EE7"/>
    <w:rsid w:val="17C76AD9"/>
    <w:rsid w:val="17F953D1"/>
    <w:rsid w:val="19445F08"/>
    <w:rsid w:val="19626015"/>
    <w:rsid w:val="19E01D53"/>
    <w:rsid w:val="1A466951"/>
    <w:rsid w:val="1ACB0C72"/>
    <w:rsid w:val="1B951483"/>
    <w:rsid w:val="1EB1373C"/>
    <w:rsid w:val="206F41B2"/>
    <w:rsid w:val="22380D51"/>
    <w:rsid w:val="23A0601A"/>
    <w:rsid w:val="249C1548"/>
    <w:rsid w:val="24F164AA"/>
    <w:rsid w:val="25920446"/>
    <w:rsid w:val="26BE207C"/>
    <w:rsid w:val="27B77F31"/>
    <w:rsid w:val="28520659"/>
    <w:rsid w:val="28EA41A6"/>
    <w:rsid w:val="29627FA5"/>
    <w:rsid w:val="29A75B70"/>
    <w:rsid w:val="2C5524AE"/>
    <w:rsid w:val="2D397C21"/>
    <w:rsid w:val="2D614663"/>
    <w:rsid w:val="2E0E63DF"/>
    <w:rsid w:val="305D4356"/>
    <w:rsid w:val="32C57AD0"/>
    <w:rsid w:val="36373C92"/>
    <w:rsid w:val="36FD4BC3"/>
    <w:rsid w:val="370626FD"/>
    <w:rsid w:val="38704B15"/>
    <w:rsid w:val="3915284A"/>
    <w:rsid w:val="39DA1775"/>
    <w:rsid w:val="3BAD48A7"/>
    <w:rsid w:val="3CFDF612"/>
    <w:rsid w:val="3DA54889"/>
    <w:rsid w:val="3E6C492D"/>
    <w:rsid w:val="3F577404"/>
    <w:rsid w:val="3F6BD2CA"/>
    <w:rsid w:val="3FCE63A8"/>
    <w:rsid w:val="3FFF4DB7"/>
    <w:rsid w:val="41E94656"/>
    <w:rsid w:val="42A41A17"/>
    <w:rsid w:val="44216865"/>
    <w:rsid w:val="44D71338"/>
    <w:rsid w:val="4529680F"/>
    <w:rsid w:val="452C54DB"/>
    <w:rsid w:val="45BD2247"/>
    <w:rsid w:val="48F21326"/>
    <w:rsid w:val="4993630D"/>
    <w:rsid w:val="4B665216"/>
    <w:rsid w:val="4B9D56AA"/>
    <w:rsid w:val="4BE45A77"/>
    <w:rsid w:val="4C0D517B"/>
    <w:rsid w:val="4CC33D72"/>
    <w:rsid w:val="4D0657FF"/>
    <w:rsid w:val="4EB50394"/>
    <w:rsid w:val="4EB7EB13"/>
    <w:rsid w:val="4F820F5D"/>
    <w:rsid w:val="5067425A"/>
    <w:rsid w:val="52E90AA4"/>
    <w:rsid w:val="52F448FA"/>
    <w:rsid w:val="542A35FF"/>
    <w:rsid w:val="54E2318F"/>
    <w:rsid w:val="56F447B7"/>
    <w:rsid w:val="571B1C0D"/>
    <w:rsid w:val="57EAEBA9"/>
    <w:rsid w:val="5ADE331A"/>
    <w:rsid w:val="5BEBC39C"/>
    <w:rsid w:val="5C396788"/>
    <w:rsid w:val="5E3B191B"/>
    <w:rsid w:val="5F9920D6"/>
    <w:rsid w:val="5FEF5B33"/>
    <w:rsid w:val="636649C5"/>
    <w:rsid w:val="63753981"/>
    <w:rsid w:val="64223C8B"/>
    <w:rsid w:val="65E3112F"/>
    <w:rsid w:val="675B27BA"/>
    <w:rsid w:val="685F2A77"/>
    <w:rsid w:val="69160941"/>
    <w:rsid w:val="69CD1140"/>
    <w:rsid w:val="6AB204F0"/>
    <w:rsid w:val="6BE1158F"/>
    <w:rsid w:val="6C354F35"/>
    <w:rsid w:val="6C43786E"/>
    <w:rsid w:val="6D125276"/>
    <w:rsid w:val="6FBA2F21"/>
    <w:rsid w:val="6FF70EBC"/>
    <w:rsid w:val="71F676A7"/>
    <w:rsid w:val="74384AB6"/>
    <w:rsid w:val="753404B5"/>
    <w:rsid w:val="754461E9"/>
    <w:rsid w:val="75947170"/>
    <w:rsid w:val="75FF606C"/>
    <w:rsid w:val="76510181"/>
    <w:rsid w:val="76D80565"/>
    <w:rsid w:val="78414141"/>
    <w:rsid w:val="7925143F"/>
    <w:rsid w:val="79DB0663"/>
    <w:rsid w:val="79FA2820"/>
    <w:rsid w:val="7BDBBB4E"/>
    <w:rsid w:val="7C8A021A"/>
    <w:rsid w:val="7CB225D2"/>
    <w:rsid w:val="7CE47D4A"/>
    <w:rsid w:val="7CF91FAF"/>
    <w:rsid w:val="7F7D0FF9"/>
    <w:rsid w:val="7FA007DD"/>
    <w:rsid w:val="7FBF06BB"/>
    <w:rsid w:val="7FBFFD8C"/>
    <w:rsid w:val="7FEDB6D6"/>
    <w:rsid w:val="88FD797D"/>
    <w:rsid w:val="8AED4DA7"/>
    <w:rsid w:val="B2779A53"/>
    <w:rsid w:val="B3DF7957"/>
    <w:rsid w:val="BB97F418"/>
    <w:rsid w:val="BD470B69"/>
    <w:rsid w:val="BFF5AD4B"/>
    <w:rsid w:val="D34B7BEB"/>
    <w:rsid w:val="DEED080B"/>
    <w:rsid w:val="DF9D88A5"/>
    <w:rsid w:val="DFDF6FF5"/>
    <w:rsid w:val="EFF76801"/>
    <w:rsid w:val="EFFC873F"/>
    <w:rsid w:val="EFFD11A4"/>
    <w:rsid w:val="EFFF545F"/>
    <w:rsid w:val="F7FF3067"/>
    <w:rsid w:val="FAEB168D"/>
    <w:rsid w:val="FBBA6835"/>
    <w:rsid w:val="FBFD5206"/>
    <w:rsid w:val="FCFEFBB3"/>
    <w:rsid w:val="FE99E885"/>
    <w:rsid w:val="FF3A4A8D"/>
    <w:rsid w:val="FFDF9C18"/>
    <w:rsid w:val="FFF7CE1B"/>
    <w:rsid w:val="FFFDD5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仿宋" w:hAnsi="仿宋" w:eastAsia="仿宋" w:cs="仿宋"/>
      <w:sz w:val="31"/>
      <w:szCs w:val="31"/>
      <w:lang w:val="en-US" w:eastAsia="en-US" w:bidi="ar-SA"/>
    </w:rPr>
  </w:style>
  <w:style w:type="paragraph" w:styleId="4">
    <w:name w:val="Title"/>
    <w:basedOn w:val="1"/>
    <w:next w:val="1"/>
    <w:qFormat/>
    <w:uiPriority w:val="0"/>
    <w:pPr>
      <w:spacing w:before="240" w:after="60" w:line="360" w:lineRule="auto"/>
      <w:jc w:val="center"/>
      <w:outlineLvl w:val="0"/>
    </w:pPr>
    <w:rPr>
      <w:rFonts w:ascii="Cambria" w:hAnsi="Cambria" w:eastAsia="宋体" w:cs="Times New Roman"/>
      <w:b/>
      <w:bCs/>
      <w:kern w:val="0"/>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正文1"/>
    <w:basedOn w:val="1"/>
    <w:qFormat/>
    <w:uiPriority w:val="0"/>
    <w:pPr>
      <w:autoSpaceDE w:val="0"/>
      <w:autoSpaceDN w:val="0"/>
      <w:adjustRightInd w:val="0"/>
      <w:spacing w:before="156" w:line="360" w:lineRule="auto"/>
    </w:pPr>
    <w:rPr>
      <w:rFonts w:ascii="华文楷体" w:hAnsi="宋体" w:eastAsia="宋体" w:cs="Times New Roman"/>
      <w:kern w:val="0"/>
      <w:sz w:val="24"/>
    </w:rPr>
  </w:style>
  <w:style w:type="paragraph" w:customStyle="1" w:styleId="13">
    <w:name w:val="公文模板"/>
    <w:basedOn w:val="1"/>
    <w:qFormat/>
    <w:uiPriority w:val="0"/>
    <w:pPr>
      <w:spacing w:line="560" w:lineRule="exact"/>
      <w:ind w:firstLine="643" w:firstLineChars="200"/>
    </w:pPr>
    <w:rPr>
      <w:rFonts w:ascii="Calibri" w:hAnsi="Calibri"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573</Words>
  <Characters>577</Characters>
  <TotalTime>81</TotalTime>
  <ScaleCrop>false</ScaleCrop>
  <LinksUpToDate>false</LinksUpToDate>
  <CharactersWithSpaces>578</CharactersWithSpaces>
  <Application>WPS Office_11.8.2.12024_F1E327BC-269C-435d-A152-05C5408002CA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2018-02-01T21:50:00Z</dcterms:created>
  <dc:creator>admin</dc:creator>
  <cp:lastModifiedBy>打字室</cp:lastModifiedBy>
  <dcterms:modified xsi:type="dcterms:W3CDTF">2025-07-28T12:49:06Z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2025-01-03T17:29:22Z</vt:filetime>
  </property>
  <property fmtid="{D5CDD505-2E9C-101B-9397-08002B2CF9AE}" pid="4" name="KSOTemplateDocerSaveRecord">
    <vt:lpwstr>eyJoZGlkIjoiMzEwNTM5NzYwMDRjMzkwZTVkZjY2ODkwMGIxNGU0OTUiLCJ1c2VySWQiOiIxMDM1Njc4NjAwIn0=</vt:lpwstr>
  </property>
  <property fmtid="{D5CDD505-2E9C-101B-9397-08002B2CF9AE}" pid="5" name="KSOProductBuildVer">
    <vt:lpwstr>2052-11.8.2.12024</vt:lpwstr>
  </property>
  <property fmtid="{D5CDD505-2E9C-101B-9397-08002B2CF9AE}" pid="6" name="ICV">
    <vt:lpwstr>ACB8D0977E464E1CA5AE225B1B252642_13</vt:lpwstr>
  </property>
</Properties>
</file>